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tabs>
          <w:tab w:pos="10379" w:val="left" w:leader="none"/>
        </w:tabs>
        <w:spacing w:line="352" w:lineRule="exact" w:before="0"/>
        <w:ind w:left="1520" w:right="0" w:firstLine="0"/>
        <w:jc w:val="left"/>
        <w:rPr>
          <w:sz w:val="26"/>
        </w:rPr>
      </w:pPr>
      <w:r>
        <w:rPr/>
        <w:drawing>
          <wp:anchor distT="0" distB="0" distL="0" distR="0" allowOverlap="1" layoutInCell="1" locked="0" behindDoc="1" simplePos="0" relativeHeight="268411295">
            <wp:simplePos x="0" y="0"/>
            <wp:positionH relativeFrom="page">
              <wp:posOffset>0</wp:posOffset>
            </wp:positionH>
            <wp:positionV relativeFrom="page">
              <wp:posOffset>45084</wp:posOffset>
            </wp:positionV>
            <wp:extent cx="12109335" cy="17150715"/>
            <wp:effectExtent l="0" t="0" r="0" b="0"/>
            <wp:wrapNone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9335" cy="1715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</w:rPr>
        <w:t>广东腾越建筑工程有限公司</w:t>
        <w:tab/>
      </w:r>
      <w:r>
        <w:rPr>
          <w:rFonts w:ascii="PMingLiU" w:eastAsia="PMingLiU" w:hint="eastAsia"/>
          <w:sz w:val="26"/>
        </w:rPr>
        <w:t>容县碧桂园一期住宅</w:t>
      </w:r>
      <w:r>
        <w:rPr>
          <w:sz w:val="26"/>
        </w:rPr>
        <w:t>工法样板施工方案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1"/>
        </w:rPr>
      </w:pPr>
    </w:p>
    <w:p>
      <w:pPr>
        <w:tabs>
          <w:tab w:pos="1799" w:val="left" w:leader="none"/>
        </w:tabs>
        <w:spacing w:line="920" w:lineRule="exact" w:before="0"/>
        <w:ind w:left="0" w:right="658" w:firstLine="0"/>
        <w:jc w:val="center"/>
        <w:rPr>
          <w:sz w:val="82"/>
        </w:rPr>
      </w:pPr>
      <w:r>
        <w:rPr>
          <w:sz w:val="82"/>
        </w:rPr>
        <w:t>目</w:t>
        <w:tab/>
        <w:t>录</w:t>
      </w:r>
    </w:p>
    <w:p>
      <w:pPr>
        <w:pStyle w:val="BodyText"/>
        <w:spacing w:before="10"/>
        <w:rPr>
          <w:sz w:val="92"/>
        </w:rPr>
      </w:pP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15016" w:val="left" w:leader="dot"/>
            </w:tabs>
            <w:spacing w:before="0"/>
            <w:rPr>
              <w:rFonts w:ascii="Arial" w:eastAsia="Arial"/>
            </w:rPr>
          </w:pPr>
          <w:hyperlink w:history="true" w:anchor="_TOC_250003">
            <w:r>
              <w:rPr>
                <w:rFonts w:ascii="Arial" w:eastAsia="Arial"/>
              </w:rPr>
              <w:t>1</w:t>
            </w:r>
            <w:r>
              <w:rPr/>
              <w:t>、编制依据</w:t>
            </w:r>
            <w:r>
              <w:rPr>
                <w:rFonts w:ascii="Arial" w:eastAsia="Arial"/>
              </w:rPr>
              <w:tab/>
              <w:t>1</w:t>
            </w:r>
          </w:hyperlink>
        </w:p>
        <w:p>
          <w:pPr>
            <w:pStyle w:val="TOC1"/>
            <w:tabs>
              <w:tab w:pos="14931" w:val="left" w:leader="dot"/>
            </w:tabs>
            <w:rPr>
              <w:rFonts w:ascii="Arial" w:eastAsia="Arial"/>
            </w:rPr>
          </w:pPr>
          <w:r>
            <w:rPr>
              <w:rFonts w:ascii="Arial" w:eastAsia="Arial"/>
            </w:rPr>
            <w:t>2</w:t>
          </w:r>
          <w:r>
            <w:rPr/>
            <w:t>、工法样板施工方案</w:t>
          </w:r>
          <w:r>
            <w:rPr>
              <w:rFonts w:ascii="Arial" w:eastAsia="Arial"/>
            </w:rPr>
            <w:tab/>
            <w:t>2</w:t>
          </w:r>
        </w:p>
        <w:p>
          <w:pPr>
            <w:pStyle w:val="TOC1"/>
            <w:tabs>
              <w:tab w:pos="15016" w:val="left" w:leader="dot"/>
            </w:tabs>
            <w:rPr>
              <w:rFonts w:ascii="Arial" w:eastAsia="Arial"/>
            </w:rPr>
          </w:pPr>
          <w:hyperlink w:history="true" w:anchor="_TOC_250002">
            <w:r>
              <w:rPr>
                <w:rFonts w:ascii="Arial" w:eastAsia="Arial"/>
              </w:rPr>
              <w:t>3</w:t>
            </w:r>
            <w:r>
              <w:rPr/>
              <w:t>、实施计划</w:t>
            </w:r>
            <w:r>
              <w:rPr>
                <w:rFonts w:ascii="Arial" w:eastAsia="Arial"/>
              </w:rPr>
              <w:tab/>
              <w:t>3</w:t>
            </w:r>
          </w:hyperlink>
        </w:p>
        <w:p>
          <w:pPr>
            <w:pStyle w:val="TOC1"/>
            <w:tabs>
              <w:tab w:pos="15016" w:val="left" w:leader="dot"/>
            </w:tabs>
            <w:rPr>
              <w:rFonts w:ascii="Arial" w:eastAsia="Arial"/>
            </w:rPr>
          </w:pPr>
          <w:hyperlink w:history="true" w:anchor="_TOC_250001">
            <w:r>
              <w:rPr>
                <w:rFonts w:ascii="Arial" w:eastAsia="Arial"/>
              </w:rPr>
              <w:t>4</w:t>
            </w:r>
            <w:r>
              <w:rPr/>
              <w:t>、施工准备</w:t>
            </w:r>
            <w:r>
              <w:rPr>
                <w:rFonts w:ascii="Arial" w:eastAsia="Arial"/>
              </w:rPr>
              <w:tab/>
              <w:t>3</w:t>
            </w:r>
          </w:hyperlink>
        </w:p>
        <w:p>
          <w:pPr>
            <w:pStyle w:val="TOC1"/>
            <w:tabs>
              <w:tab w:pos="15016" w:val="left" w:leader="dot"/>
            </w:tabs>
            <w:rPr>
              <w:rFonts w:ascii="Arial" w:eastAsia="Arial"/>
            </w:rPr>
          </w:pPr>
          <w:hyperlink w:history="true" w:anchor="_TOC_250000">
            <w:r>
              <w:rPr>
                <w:rFonts w:ascii="Arial" w:eastAsia="Arial"/>
              </w:rPr>
              <w:t>5</w:t>
            </w:r>
            <w:r>
              <w:rPr/>
              <w:t>、工作流程</w:t>
            </w:r>
            <w:r>
              <w:rPr>
                <w:rFonts w:ascii="Arial" w:eastAsia="Arial"/>
              </w:rPr>
              <w:tab/>
              <w:t>8</w:t>
            </w:r>
          </w:hyperlink>
        </w:p>
      </w:sdtContent>
    </w:sdt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rPr>
          <w:rFonts w:ascii="Arial"/>
          <w:sz w:val="26"/>
        </w:rPr>
      </w:pPr>
    </w:p>
    <w:p>
      <w:pPr>
        <w:pStyle w:val="BodyText"/>
        <w:spacing w:before="8"/>
        <w:rPr>
          <w:rFonts w:ascii="Arial"/>
          <w:sz w:val="27"/>
        </w:rPr>
      </w:pPr>
    </w:p>
    <w:p>
      <w:pPr>
        <w:spacing w:before="1"/>
        <w:ind w:left="0" w:right="408" w:firstLine="0"/>
        <w:jc w:val="center"/>
        <w:rPr>
          <w:rFonts w:ascii="Arial"/>
          <w:b/>
          <w:sz w:val="26"/>
        </w:rPr>
      </w:pPr>
      <w:r>
        <w:rPr>
          <w:rFonts w:ascii="Arial"/>
          <w:b/>
          <w:sz w:val="26"/>
        </w:rPr>
        <w:t>1 </w:t>
      </w:r>
      <w:r>
        <w:rPr>
          <w:rFonts w:ascii="Arial"/>
          <w:sz w:val="26"/>
        </w:rPr>
        <w:t>/ </w:t>
      </w:r>
      <w:r>
        <w:rPr>
          <w:rFonts w:ascii="Arial"/>
          <w:b/>
          <w:sz w:val="26"/>
        </w:rPr>
        <w:t>12</w:t>
      </w:r>
    </w:p>
    <w:p>
      <w:pPr>
        <w:spacing w:after="0"/>
        <w:jc w:val="center"/>
        <w:rPr>
          <w:rFonts w:ascii="Arial"/>
          <w:sz w:val="26"/>
        </w:rPr>
        <w:sectPr>
          <w:type w:val="continuous"/>
          <w:pgSz w:w="19120" w:h="27080"/>
          <w:pgMar w:top="1940" w:bottom="280" w:left="2160" w:right="1600"/>
        </w:sectPr>
      </w:pPr>
    </w:p>
    <w:p>
      <w:pPr>
        <w:tabs>
          <w:tab w:pos="10379" w:val="left" w:leader="none"/>
        </w:tabs>
        <w:spacing w:line="352" w:lineRule="exact" w:before="0"/>
        <w:ind w:left="1520" w:right="0" w:firstLine="0"/>
        <w:jc w:val="left"/>
        <w:rPr>
          <w:rFonts w:ascii="PMingLiU" w:eastAsia="PMingLiU" w:hint="eastAsia"/>
          <w:sz w:val="26"/>
        </w:rPr>
      </w:pPr>
      <w:r>
        <w:rPr/>
        <w:drawing>
          <wp:anchor distT="0" distB="0" distL="0" distR="0" allowOverlap="1" layoutInCell="1" locked="0" behindDoc="1" simplePos="0" relativeHeight="268411319">
            <wp:simplePos x="0" y="0"/>
            <wp:positionH relativeFrom="page">
              <wp:posOffset>0</wp:posOffset>
            </wp:positionH>
            <wp:positionV relativeFrom="page">
              <wp:posOffset>45084</wp:posOffset>
            </wp:positionV>
            <wp:extent cx="12109335" cy="17150715"/>
            <wp:effectExtent l="0" t="0" r="0" b="0"/>
            <wp:wrapNone/>
            <wp:docPr id="3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9335" cy="1715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</w:rPr>
        <w:t>广东腾越建筑工程有限公司</w:t>
        <w:tab/>
      </w:r>
      <w:r>
        <w:rPr>
          <w:rFonts w:ascii="PMingLiU" w:eastAsia="PMingLiU" w:hint="eastAsia"/>
          <w:sz w:val="26"/>
        </w:rPr>
        <w:t>容县碧桂园一期住宅工法样板施工方案</w:t>
      </w:r>
    </w:p>
    <w:p>
      <w:pPr>
        <w:pStyle w:val="Heading1"/>
        <w:spacing w:before="37"/>
      </w:pPr>
      <w:bookmarkStart w:name="_TOC_250003" w:id="1"/>
      <w:r>
        <w:rPr>
          <w:rFonts w:ascii="Arial" w:eastAsia="Arial"/>
        </w:rPr>
        <w:t>1</w:t>
      </w:r>
      <w:bookmarkEnd w:id="1"/>
      <w:r>
        <w:rPr/>
        <w:t>、编制依据</w:t>
      </w:r>
    </w:p>
    <w:p>
      <w:pPr>
        <w:pStyle w:val="BodyText"/>
        <w:spacing w:line="360" w:lineRule="auto" w:before="310"/>
        <w:ind w:left="100" w:right="1060" w:firstLine="780"/>
      </w:pPr>
      <w:r>
        <w:rPr/>
        <w:t>根据集团及公司要求，落实工法引路、样板先行方针，为</w:t>
      </w:r>
      <w:r>
        <w:rPr>
          <w:rFonts w:ascii="PMingLiU" w:eastAsia="PMingLiU" w:hint="eastAsia"/>
        </w:rPr>
        <w:t>容县碧桂园一期住宅</w:t>
      </w:r>
      <w:r>
        <w:rPr/>
        <w:t>工程 的施工提供直观可视的技术支持，特编制本工法样板间施工专项施工方案。</w:t>
      </w:r>
    </w:p>
    <w:p>
      <w:pPr>
        <w:pStyle w:val="BodyText"/>
        <w:tabs>
          <w:tab w:pos="5399" w:val="left" w:leader="none"/>
        </w:tabs>
        <w:spacing w:before="109"/>
        <w:ind w:left="500"/>
      </w:pPr>
      <w:r>
        <w:rPr/>
        <w:t>（</w:t>
      </w:r>
      <w:r>
        <w:rPr>
          <w:rFonts w:ascii="Arial" w:eastAsia="Arial"/>
        </w:rPr>
        <w:t>1</w:t>
      </w:r>
      <w:r>
        <w:rPr/>
        <w:t>）碧桂园集团公司颁发的</w:t>
        <w:tab/>
      </w:r>
      <w:r>
        <w:rPr>
          <w:rFonts w:ascii="Arial" w:eastAsia="Arial"/>
        </w:rPr>
        <w:t>2015</w:t>
      </w:r>
      <w:r>
        <w:rPr>
          <w:rFonts w:ascii="Arial" w:eastAsia="Arial"/>
          <w:spacing w:val="-24"/>
        </w:rPr>
        <w:t> </w:t>
      </w:r>
      <w:r>
        <w:rPr/>
        <w:t>修订版《防渗漏、防开裂控制》</w:t>
      </w:r>
    </w:p>
    <w:p>
      <w:pPr>
        <w:pStyle w:val="BodyText"/>
        <w:tabs>
          <w:tab w:pos="7639" w:val="left" w:leader="none"/>
        </w:tabs>
        <w:spacing w:before="243"/>
        <w:ind w:left="500"/>
      </w:pPr>
      <w:r>
        <w:rPr/>
        <w:t>（</w:t>
      </w:r>
      <w:r>
        <w:rPr>
          <w:rFonts w:ascii="Arial" w:eastAsia="Arial"/>
        </w:rPr>
        <w:t>2</w:t>
      </w:r>
      <w:r>
        <w:rPr/>
        <w:t>）碧桂园工程质量管理检查评分办法（</w:t>
        <w:tab/>
      </w:r>
      <w:r>
        <w:rPr>
          <w:rFonts w:ascii="Arial" w:eastAsia="Arial"/>
        </w:rPr>
        <w:t>2016</w:t>
      </w:r>
      <w:r>
        <w:rPr>
          <w:rFonts w:ascii="Arial" w:eastAsia="Arial"/>
          <w:spacing w:val="-44"/>
        </w:rPr>
        <w:t> </w:t>
      </w:r>
      <w:r>
        <w:rPr/>
        <w:t>版）</w:t>
      </w:r>
    </w:p>
    <w:p>
      <w:pPr>
        <w:pStyle w:val="BodyText"/>
        <w:spacing w:before="263"/>
        <w:ind w:left="500"/>
      </w:pPr>
      <w:r>
        <w:rPr/>
        <w:t>（</w:t>
      </w:r>
      <w:r>
        <w:rPr>
          <w:rFonts w:ascii="Arial" w:eastAsia="Arial"/>
        </w:rPr>
        <w:t>3</w:t>
      </w:r>
      <w:r>
        <w:rPr/>
        <w:t>）国家颁布的规范性文件</w:t>
      </w:r>
    </w:p>
    <w:p>
      <w:pPr>
        <w:pStyle w:val="BodyText"/>
        <w:tabs>
          <w:tab w:pos="3579" w:val="left" w:leader="none"/>
        </w:tabs>
        <w:spacing w:before="243"/>
        <w:ind w:left="600"/>
      </w:pPr>
      <w:r>
        <w:rPr>
          <w:rFonts w:ascii="Arial" w:eastAsia="Arial"/>
        </w:rPr>
        <w:t>GB50202-2002</w:t>
        <w:tab/>
      </w:r>
      <w:r>
        <w:rPr/>
        <w:t>地基与基础工程施工及验收规范</w:t>
      </w:r>
    </w:p>
    <w:p>
      <w:pPr>
        <w:pStyle w:val="BodyText"/>
        <w:tabs>
          <w:tab w:pos="3579" w:val="left" w:leader="none"/>
        </w:tabs>
        <w:spacing w:line="362" w:lineRule="auto" w:before="263"/>
        <w:ind w:left="860" w:right="5938" w:hanging="260"/>
      </w:pPr>
      <w:r>
        <w:rPr>
          <w:rFonts w:ascii="Arial" w:eastAsia="Arial"/>
        </w:rPr>
        <w:t>GB50204-2015</w:t>
        <w:tab/>
      </w:r>
      <w:r>
        <w:rPr/>
        <w:t>混凝土结构工程施工质量验收规范 </w:t>
      </w:r>
      <w:r>
        <w:rPr>
          <w:rFonts w:ascii="Arial" w:eastAsia="Arial"/>
        </w:rPr>
        <w:t>GB50203-2011 </w:t>
      </w:r>
      <w:r>
        <w:rPr/>
        <w:t>砌体工程施工质量验收规范 </w:t>
      </w:r>
      <w:r>
        <w:rPr>
          <w:rFonts w:ascii="Arial" w:eastAsia="Arial"/>
        </w:rPr>
        <w:t>GB50207-2012</w:t>
      </w:r>
      <w:r>
        <w:rPr>
          <w:rFonts w:ascii="Arial" w:eastAsia="Arial"/>
          <w:spacing w:val="76"/>
        </w:rPr>
        <w:t> </w:t>
      </w:r>
      <w:r>
        <w:rPr/>
        <w:t>屋面工程质量验收规范</w:t>
      </w:r>
    </w:p>
    <w:p>
      <w:pPr>
        <w:pStyle w:val="BodyText"/>
        <w:spacing w:before="38"/>
        <w:ind w:left="1060"/>
      </w:pPr>
      <w:r>
        <w:rPr>
          <w:rFonts w:ascii="Arial" w:eastAsia="Arial"/>
        </w:rPr>
        <w:t>GB50208-2011 </w:t>
      </w:r>
      <w:r>
        <w:rPr/>
        <w:t>地下防水工程质量验收规范</w:t>
      </w:r>
    </w:p>
    <w:p>
      <w:pPr>
        <w:pStyle w:val="BodyText"/>
        <w:spacing w:line="369" w:lineRule="auto" w:before="263"/>
        <w:ind w:left="100" w:right="2200" w:firstLine="960"/>
        <w:rPr>
          <w:sz w:val="42"/>
        </w:rPr>
      </w:pPr>
      <w:r>
        <w:rPr>
          <w:rFonts w:ascii="Arial" w:eastAsia="Arial"/>
        </w:rPr>
        <w:t>GB50300-2013 </w:t>
      </w:r>
      <w:r>
        <w:rPr/>
        <w:t>建筑工程施工质量验收统一标准 本方案有未说明或未明确的地方有关规范、图集或当地政府有关文件规定为准。 </w:t>
      </w:r>
      <w:r>
        <w:rPr>
          <w:rFonts w:ascii="Arial" w:eastAsia="Arial"/>
          <w:sz w:val="42"/>
        </w:rPr>
        <w:t>2</w:t>
      </w:r>
      <w:r>
        <w:rPr>
          <w:sz w:val="42"/>
        </w:rPr>
        <w:t>、工序样板施工方案</w:t>
      </w:r>
    </w:p>
    <w:p>
      <w:pPr>
        <w:pStyle w:val="BodyText"/>
        <w:spacing w:line="367" w:lineRule="auto" w:before="57"/>
        <w:ind w:left="880" w:right="1060"/>
      </w:pPr>
      <w:r>
        <w:rPr>
          <w:rFonts w:ascii="Arial" w:eastAsia="Arial"/>
        </w:rPr>
        <w:t>2.1 </w:t>
      </w:r>
      <w:r>
        <w:rPr/>
        <w:t>、混凝土结构工程 包含模板支撑体系、沉箱反边加固、清扫口设置、楼梯板设置、柱子加固方式、梁</w:t>
      </w:r>
    </w:p>
    <w:p>
      <w:pPr>
        <w:pStyle w:val="BodyText"/>
        <w:spacing w:line="386" w:lineRule="auto" w:before="78"/>
        <w:ind w:left="100" w:right="1120"/>
      </w:pPr>
      <w:r>
        <w:rPr/>
        <w:t>柱节点钢筋绑扎、梁板钢筋绑扎、垫块设置、混凝土浇捣工程、平屋面设置、栏杆工序 样板设置。</w:t>
      </w:r>
    </w:p>
    <w:p>
      <w:pPr>
        <w:pStyle w:val="BodyText"/>
        <w:spacing w:line="367" w:lineRule="auto" w:before="49"/>
        <w:ind w:left="880" w:right="1060"/>
      </w:pPr>
      <w:r>
        <w:rPr>
          <w:rFonts w:ascii="Arial" w:eastAsia="Arial"/>
        </w:rPr>
        <w:t>2.2 </w:t>
      </w:r>
      <w:r>
        <w:rPr/>
        <w:t>、砌体样板 包含砌体灰缝平直、灰缝勾缝、底砖砌筑、顶砖砌筑、拉结筋、构造柱设置等工法</w:t>
      </w:r>
    </w:p>
    <w:p>
      <w:pPr>
        <w:pStyle w:val="BodyText"/>
        <w:spacing w:before="78"/>
        <w:ind w:left="100"/>
      </w:pPr>
      <w:r>
        <w:rPr/>
        <w:t>样板。</w:t>
      </w:r>
    </w:p>
    <w:p>
      <w:pPr>
        <w:pStyle w:val="BodyText"/>
        <w:spacing w:before="289"/>
        <w:ind w:left="880"/>
      </w:pPr>
      <w:r>
        <w:rPr>
          <w:rFonts w:ascii="Arial" w:eastAsia="Arial"/>
        </w:rPr>
        <w:t>2.3 </w:t>
      </w:r>
      <w:r>
        <w:rPr/>
        <w:t>、内墙抹灰样板</w:t>
      </w:r>
    </w:p>
    <w:p>
      <w:pPr>
        <w:pStyle w:val="BodyText"/>
        <w:spacing w:line="372" w:lineRule="auto" w:before="263"/>
        <w:ind w:left="880" w:right="280"/>
      </w:pPr>
      <w:r>
        <w:rPr/>
        <w:t>包含基底处理、</w:t>
      </w:r>
      <w:r>
        <w:rPr>
          <w:spacing w:val="-60"/>
        </w:rPr>
        <w:t> </w:t>
      </w:r>
      <w:r>
        <w:rPr/>
        <w:t>灰饼、</w:t>
      </w:r>
      <w:r>
        <w:rPr>
          <w:spacing w:val="-140"/>
        </w:rPr>
        <w:t> </w:t>
      </w:r>
      <w:r>
        <w:rPr/>
        <w:t>界面处钢丝网、</w:t>
      </w:r>
      <w:r>
        <w:rPr>
          <w:spacing w:val="-60"/>
        </w:rPr>
        <w:t> </w:t>
      </w:r>
      <w:r>
        <w:rPr/>
        <w:t>抹灰层、</w:t>
      </w:r>
      <w:r>
        <w:rPr>
          <w:spacing w:val="-120"/>
        </w:rPr>
        <w:t> </w:t>
      </w:r>
      <w:r>
        <w:rPr/>
        <w:t>表面玻纤网、</w:t>
      </w:r>
      <w:r>
        <w:rPr>
          <w:spacing w:val="-100"/>
        </w:rPr>
        <w:t> </w:t>
      </w:r>
      <w:r>
        <w:rPr/>
        <w:t>阳角护角等工法样板。 </w:t>
      </w:r>
      <w:r>
        <w:rPr>
          <w:rFonts w:ascii="Arial" w:eastAsia="Arial"/>
        </w:rPr>
        <w:t>2.4 </w:t>
      </w:r>
      <w:r>
        <w:rPr/>
        <w:t>、外墙抹灰样板 包含基底处理、灰饼、抹灰层、防水层、保温层、抗裂砂浆、饰面层（根据具体图</w:t>
      </w:r>
    </w:p>
    <w:p>
      <w:pPr>
        <w:pStyle w:val="BodyText"/>
        <w:spacing w:before="71"/>
        <w:ind w:left="100"/>
      </w:pPr>
      <w:r>
        <w:rPr/>
        <w:t>纸设置，若是外墙喷涂时要分层设置）等工法样板。</w:t>
      </w:r>
    </w:p>
    <w:p>
      <w:pPr>
        <w:pStyle w:val="BodyText"/>
        <w:spacing w:line="372" w:lineRule="auto" w:before="289"/>
        <w:ind w:left="880" w:right="4300"/>
      </w:pPr>
      <w:r>
        <w:rPr>
          <w:rFonts w:ascii="Arial" w:eastAsia="Arial"/>
        </w:rPr>
        <w:t>2.5 </w:t>
      </w:r>
      <w:r>
        <w:rPr/>
        <w:t>、斜屋面样板 包含找平层、防水层、保温层、保护层、屋面瓦等工法样板。 </w:t>
      </w:r>
      <w:r>
        <w:rPr>
          <w:rFonts w:ascii="Arial" w:eastAsia="Arial"/>
        </w:rPr>
        <w:t>2.6 </w:t>
      </w:r>
      <w:r>
        <w:rPr/>
        <w:t>、卫生间样板</w: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7"/>
        </w:rPr>
      </w:pPr>
    </w:p>
    <w:p>
      <w:pPr>
        <w:spacing w:before="67"/>
        <w:ind w:left="6021" w:right="5992" w:firstLine="0"/>
        <w:jc w:val="center"/>
        <w:rPr>
          <w:rFonts w:ascii="Arial"/>
          <w:b/>
          <w:sz w:val="26"/>
        </w:rPr>
      </w:pPr>
      <w:r>
        <w:rPr>
          <w:rFonts w:ascii="Arial"/>
          <w:b/>
          <w:sz w:val="26"/>
        </w:rPr>
        <w:t>2 </w:t>
      </w:r>
      <w:r>
        <w:rPr>
          <w:rFonts w:ascii="Arial"/>
          <w:sz w:val="26"/>
        </w:rPr>
        <w:t>/ </w:t>
      </w:r>
      <w:r>
        <w:rPr>
          <w:rFonts w:ascii="Arial"/>
          <w:b/>
          <w:sz w:val="26"/>
        </w:rPr>
        <w:t>12</w:t>
      </w:r>
    </w:p>
    <w:p>
      <w:pPr>
        <w:spacing w:after="0"/>
        <w:jc w:val="center"/>
        <w:rPr>
          <w:rFonts w:ascii="Arial"/>
          <w:sz w:val="26"/>
        </w:rPr>
        <w:sectPr>
          <w:pgSz w:w="19120" w:h="27080"/>
          <w:pgMar w:top="1940" w:bottom="280" w:left="2160" w:right="2040"/>
        </w:sectPr>
      </w:pPr>
    </w:p>
    <w:p>
      <w:pPr>
        <w:tabs>
          <w:tab w:pos="10419" w:val="left" w:leader="none"/>
        </w:tabs>
        <w:spacing w:line="352" w:lineRule="exact" w:before="0"/>
        <w:ind w:left="1560" w:right="0" w:firstLine="0"/>
        <w:jc w:val="left"/>
        <w:rPr>
          <w:rFonts w:ascii="PMingLiU" w:eastAsia="PMingLiU" w:hint="eastAsia"/>
          <w:sz w:val="26"/>
        </w:rPr>
      </w:pPr>
      <w:r>
        <w:rPr/>
        <w:drawing>
          <wp:anchor distT="0" distB="0" distL="0" distR="0" allowOverlap="1" layoutInCell="1" locked="0" behindDoc="1" simplePos="0" relativeHeight="268411343">
            <wp:simplePos x="0" y="0"/>
            <wp:positionH relativeFrom="page">
              <wp:posOffset>0</wp:posOffset>
            </wp:positionH>
            <wp:positionV relativeFrom="page">
              <wp:posOffset>45084</wp:posOffset>
            </wp:positionV>
            <wp:extent cx="12109335" cy="17150715"/>
            <wp:effectExtent l="0" t="0" r="0" b="0"/>
            <wp:wrapNone/>
            <wp:docPr id="5" name="image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9335" cy="1715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</w:rPr>
        <w:t>广东腾越建筑工程有限公司</w:t>
        <w:tab/>
      </w:r>
      <w:r>
        <w:rPr>
          <w:rFonts w:ascii="PMingLiU" w:eastAsia="PMingLiU" w:hint="eastAsia"/>
          <w:sz w:val="26"/>
        </w:rPr>
        <w:t>容县碧桂园一期住宅工法样板施工方案</w:t>
      </w:r>
    </w:p>
    <w:p>
      <w:pPr>
        <w:pStyle w:val="BodyText"/>
        <w:spacing w:line="376" w:lineRule="auto" w:before="47"/>
        <w:ind w:left="140" w:right="1060" w:firstLine="780"/>
      </w:pPr>
      <w:r>
        <w:rPr/>
        <w:t>包含卫生间翻边、找平层、防水层及上翻、保护层、卫生间管线布置、管井砌筑、 盖板层、地面等工法样板。</w:t>
      </w:r>
    </w:p>
    <w:p>
      <w:pPr>
        <w:pStyle w:val="BodyText"/>
        <w:spacing w:line="367" w:lineRule="auto" w:before="83"/>
        <w:ind w:left="920" w:right="5740"/>
      </w:pPr>
      <w:r>
        <w:rPr>
          <w:rFonts w:ascii="Arial" w:eastAsia="Arial"/>
        </w:rPr>
        <w:t>2.7 </w:t>
      </w:r>
      <w:r>
        <w:rPr/>
        <w:t>、铝合金或塑钢门样板 包含铝合金或塑钢门固定、安装、塞缝等工法样板。 </w:t>
      </w:r>
      <w:r>
        <w:rPr>
          <w:rFonts w:ascii="Arial" w:eastAsia="Arial"/>
        </w:rPr>
        <w:t>2.8 </w:t>
      </w:r>
      <w:r>
        <w:rPr/>
        <w:t>、门洞、过梁 包含门洞过梁、抱框柱等工法样板。</w:t>
      </w:r>
    </w:p>
    <w:p>
      <w:pPr>
        <w:pStyle w:val="BodyText"/>
        <w:spacing w:line="357" w:lineRule="auto" w:before="98"/>
        <w:ind w:left="920" w:right="4300"/>
      </w:pPr>
      <w:r>
        <w:rPr>
          <w:rFonts w:ascii="Arial" w:eastAsia="Arial"/>
        </w:rPr>
        <w:t>2.9 </w:t>
      </w:r>
      <w:r>
        <w:rPr/>
        <w:t>、窗台及窗固定样板 包含窗台压顶、砼边框、窗固定、窗缝填塞、窗边防水处理。</w:t>
      </w:r>
    </w:p>
    <w:p>
      <w:pPr>
        <w:pStyle w:val="Heading1"/>
        <w:spacing w:before="122"/>
        <w:ind w:left="140"/>
      </w:pPr>
      <w:bookmarkStart w:name="_TOC_250002" w:id="2"/>
      <w:r>
        <w:rPr>
          <w:rFonts w:ascii="Arial" w:eastAsia="Arial"/>
        </w:rPr>
        <w:t>3</w:t>
      </w:r>
      <w:bookmarkEnd w:id="2"/>
      <w:r>
        <w:rPr/>
        <w:t>、实施计划</w:t>
      </w:r>
    </w:p>
    <w:p>
      <w:pPr>
        <w:pStyle w:val="BodyText"/>
        <w:rPr>
          <w:sz w:val="20"/>
        </w:rPr>
      </w:pPr>
    </w:p>
    <w:p>
      <w:pPr>
        <w:pStyle w:val="BodyText"/>
        <w:spacing w:before="2" w:after="1"/>
        <w:rPr>
          <w:sz w:val="12"/>
        </w:rPr>
      </w:pPr>
    </w:p>
    <w:tbl>
      <w:tblPr>
        <w:tblW w:w="0" w:type="auto"/>
        <w:jc w:val="left"/>
        <w:tblInd w:w="1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15"/>
        <w:gridCol w:w="3390"/>
        <w:gridCol w:w="8985"/>
      </w:tblGrid>
      <w:tr>
        <w:trPr>
          <w:trHeight w:val="790" w:hRule="exact"/>
        </w:trPr>
        <w:tc>
          <w:tcPr>
            <w:tcW w:w="1015" w:type="dxa"/>
          </w:tcPr>
          <w:p>
            <w:pPr>
              <w:pStyle w:val="TableParagraph"/>
              <w:spacing w:line="460" w:lineRule="exact" w:before="0"/>
              <w:ind w:left="16" w:right="239"/>
              <w:jc w:val="center"/>
              <w:rPr>
                <w:sz w:val="36"/>
              </w:rPr>
            </w:pPr>
            <w:r>
              <w:rPr>
                <w:sz w:val="36"/>
              </w:rPr>
              <w:t>序号</w:t>
            </w:r>
          </w:p>
        </w:tc>
        <w:tc>
          <w:tcPr>
            <w:tcW w:w="3390" w:type="dxa"/>
          </w:tcPr>
          <w:p>
            <w:pPr>
              <w:pStyle w:val="TableParagraph"/>
              <w:spacing w:line="460" w:lineRule="exact" w:before="0"/>
              <w:ind w:left="240" w:right="509"/>
              <w:jc w:val="center"/>
              <w:rPr>
                <w:sz w:val="36"/>
              </w:rPr>
            </w:pPr>
            <w:r>
              <w:rPr>
                <w:sz w:val="36"/>
              </w:rPr>
              <w:t>样板名称</w:t>
            </w:r>
          </w:p>
        </w:tc>
        <w:tc>
          <w:tcPr>
            <w:tcW w:w="8985" w:type="dxa"/>
          </w:tcPr>
          <w:p>
            <w:pPr>
              <w:pStyle w:val="TableParagraph"/>
              <w:tabs>
                <w:tab w:pos="4369" w:val="left" w:leader="none"/>
                <w:tab w:pos="7149" w:val="left" w:leader="none"/>
              </w:tabs>
              <w:spacing w:line="460" w:lineRule="exact" w:before="0"/>
              <w:ind w:left="810"/>
              <w:rPr>
                <w:sz w:val="36"/>
              </w:rPr>
            </w:pPr>
            <w:r>
              <w:rPr>
                <w:sz w:val="36"/>
              </w:rPr>
              <w:t>计划实施部位</w:t>
              <w:tab/>
              <w:t>计划开始时间</w:t>
              <w:tab/>
              <w:t>实施负责人</w:t>
            </w:r>
          </w:p>
        </w:tc>
      </w:tr>
      <w:tr>
        <w:trPr>
          <w:trHeight w:val="1009" w:hRule="exact"/>
        </w:trPr>
        <w:tc>
          <w:tcPr>
            <w:tcW w:w="1015" w:type="dxa"/>
          </w:tcPr>
          <w:p>
            <w:pPr>
              <w:pStyle w:val="TableParagraph"/>
              <w:spacing w:before="301"/>
              <w:ind w:right="182"/>
              <w:jc w:val="center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1</w:t>
            </w:r>
          </w:p>
        </w:tc>
        <w:tc>
          <w:tcPr>
            <w:tcW w:w="3390" w:type="dxa"/>
          </w:tcPr>
          <w:p>
            <w:pPr>
              <w:pStyle w:val="TableParagraph"/>
              <w:spacing w:before="219"/>
              <w:ind w:left="240" w:right="589"/>
              <w:jc w:val="center"/>
              <w:rPr>
                <w:sz w:val="36"/>
              </w:rPr>
            </w:pPr>
            <w:r>
              <w:rPr>
                <w:sz w:val="36"/>
              </w:rPr>
              <w:t>混凝土结构工程</w:t>
            </w:r>
          </w:p>
        </w:tc>
        <w:tc>
          <w:tcPr>
            <w:tcW w:w="8985" w:type="dxa"/>
          </w:tcPr>
          <w:p>
            <w:pPr>
              <w:pStyle w:val="TableParagraph"/>
              <w:spacing w:before="219"/>
              <w:ind w:left="610"/>
              <w:rPr>
                <w:sz w:val="36"/>
              </w:rPr>
            </w:pPr>
            <w:r>
              <w:rPr>
                <w:sz w:val="36"/>
              </w:rPr>
              <w:t>进入口大门右侧</w:t>
            </w:r>
          </w:p>
        </w:tc>
      </w:tr>
      <w:tr>
        <w:trPr>
          <w:trHeight w:val="1000" w:hRule="exact"/>
        </w:trPr>
        <w:tc>
          <w:tcPr>
            <w:tcW w:w="1015" w:type="dxa"/>
          </w:tcPr>
          <w:p>
            <w:pPr>
              <w:pStyle w:val="TableParagraph"/>
              <w:spacing w:before="273"/>
              <w:ind w:right="182"/>
              <w:jc w:val="center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2</w:t>
            </w:r>
          </w:p>
        </w:tc>
        <w:tc>
          <w:tcPr>
            <w:tcW w:w="3390" w:type="dxa"/>
          </w:tcPr>
          <w:p>
            <w:pPr>
              <w:pStyle w:val="TableParagraph"/>
              <w:spacing w:before="190"/>
              <w:ind w:left="240" w:right="509"/>
              <w:jc w:val="center"/>
              <w:rPr>
                <w:sz w:val="36"/>
              </w:rPr>
            </w:pPr>
            <w:r>
              <w:rPr>
                <w:sz w:val="36"/>
              </w:rPr>
              <w:t>砌体工程</w:t>
            </w:r>
          </w:p>
        </w:tc>
        <w:tc>
          <w:tcPr>
            <w:tcW w:w="8985" w:type="dxa"/>
          </w:tcPr>
          <w:p>
            <w:pPr>
              <w:pStyle w:val="TableParagraph"/>
              <w:spacing w:before="190"/>
              <w:ind w:left="610"/>
              <w:rPr>
                <w:sz w:val="36"/>
              </w:rPr>
            </w:pPr>
            <w:r>
              <w:rPr>
                <w:sz w:val="36"/>
              </w:rPr>
              <w:t>进入口大门右侧</w:t>
            </w:r>
          </w:p>
        </w:tc>
      </w:tr>
      <w:tr>
        <w:trPr>
          <w:trHeight w:val="1010" w:hRule="exact"/>
        </w:trPr>
        <w:tc>
          <w:tcPr>
            <w:tcW w:w="1015" w:type="dxa"/>
          </w:tcPr>
          <w:p>
            <w:pPr>
              <w:pStyle w:val="TableParagraph"/>
              <w:spacing w:before="293"/>
              <w:ind w:right="182"/>
              <w:jc w:val="center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3</w:t>
            </w:r>
          </w:p>
        </w:tc>
        <w:tc>
          <w:tcPr>
            <w:tcW w:w="3390" w:type="dxa"/>
          </w:tcPr>
          <w:p>
            <w:pPr>
              <w:pStyle w:val="TableParagraph"/>
              <w:spacing w:before="210"/>
              <w:ind w:left="240" w:right="509"/>
              <w:jc w:val="center"/>
              <w:rPr>
                <w:sz w:val="36"/>
              </w:rPr>
            </w:pPr>
            <w:r>
              <w:rPr>
                <w:sz w:val="36"/>
              </w:rPr>
              <w:t>门窗工程</w:t>
            </w:r>
          </w:p>
        </w:tc>
        <w:tc>
          <w:tcPr>
            <w:tcW w:w="8985" w:type="dxa"/>
          </w:tcPr>
          <w:p>
            <w:pPr>
              <w:pStyle w:val="TableParagraph"/>
              <w:spacing w:before="210"/>
              <w:ind w:left="610"/>
              <w:rPr>
                <w:sz w:val="36"/>
              </w:rPr>
            </w:pPr>
            <w:r>
              <w:rPr>
                <w:sz w:val="36"/>
              </w:rPr>
              <w:t>进入口大门右侧</w:t>
            </w:r>
          </w:p>
        </w:tc>
      </w:tr>
      <w:tr>
        <w:trPr>
          <w:trHeight w:val="990" w:hRule="exact"/>
        </w:trPr>
        <w:tc>
          <w:tcPr>
            <w:tcW w:w="1015" w:type="dxa"/>
          </w:tcPr>
          <w:p>
            <w:pPr>
              <w:pStyle w:val="TableParagraph"/>
              <w:spacing w:before="283"/>
              <w:ind w:right="182"/>
              <w:jc w:val="center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4</w:t>
            </w:r>
          </w:p>
        </w:tc>
        <w:tc>
          <w:tcPr>
            <w:tcW w:w="3390" w:type="dxa"/>
          </w:tcPr>
          <w:p>
            <w:pPr>
              <w:pStyle w:val="TableParagraph"/>
              <w:spacing w:before="200"/>
              <w:ind w:left="240" w:right="509"/>
              <w:jc w:val="center"/>
              <w:rPr>
                <w:sz w:val="36"/>
              </w:rPr>
            </w:pPr>
            <w:r>
              <w:rPr>
                <w:sz w:val="36"/>
              </w:rPr>
              <w:t>屋面工程</w:t>
            </w:r>
          </w:p>
        </w:tc>
        <w:tc>
          <w:tcPr>
            <w:tcW w:w="8985" w:type="dxa"/>
          </w:tcPr>
          <w:p>
            <w:pPr>
              <w:pStyle w:val="TableParagraph"/>
              <w:spacing w:before="200"/>
              <w:ind w:left="610"/>
              <w:rPr>
                <w:sz w:val="36"/>
              </w:rPr>
            </w:pPr>
            <w:r>
              <w:rPr>
                <w:sz w:val="36"/>
              </w:rPr>
              <w:t>进入口大门右侧</w:t>
            </w:r>
          </w:p>
        </w:tc>
      </w:tr>
      <w:tr>
        <w:trPr>
          <w:trHeight w:val="1000" w:hRule="exact"/>
        </w:trPr>
        <w:tc>
          <w:tcPr>
            <w:tcW w:w="1015" w:type="dxa"/>
          </w:tcPr>
          <w:p>
            <w:pPr>
              <w:pStyle w:val="TableParagraph"/>
              <w:spacing w:before="273"/>
              <w:ind w:right="182"/>
              <w:jc w:val="center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5</w:t>
            </w:r>
          </w:p>
        </w:tc>
        <w:tc>
          <w:tcPr>
            <w:tcW w:w="3390" w:type="dxa"/>
          </w:tcPr>
          <w:p>
            <w:pPr>
              <w:pStyle w:val="TableParagraph"/>
              <w:spacing w:before="190"/>
              <w:ind w:left="240" w:right="509"/>
              <w:jc w:val="center"/>
              <w:rPr>
                <w:sz w:val="36"/>
              </w:rPr>
            </w:pPr>
            <w:r>
              <w:rPr>
                <w:sz w:val="36"/>
              </w:rPr>
              <w:t>卫生间工程</w:t>
            </w:r>
          </w:p>
        </w:tc>
        <w:tc>
          <w:tcPr>
            <w:tcW w:w="8985" w:type="dxa"/>
          </w:tcPr>
          <w:p>
            <w:pPr>
              <w:pStyle w:val="TableParagraph"/>
              <w:spacing w:before="190"/>
              <w:ind w:left="610"/>
              <w:rPr>
                <w:sz w:val="36"/>
              </w:rPr>
            </w:pPr>
            <w:r>
              <w:rPr>
                <w:sz w:val="36"/>
              </w:rPr>
              <w:t>进入口大门右侧</w:t>
            </w:r>
          </w:p>
        </w:tc>
      </w:tr>
      <w:tr>
        <w:trPr>
          <w:trHeight w:val="1000" w:hRule="exact"/>
        </w:trPr>
        <w:tc>
          <w:tcPr>
            <w:tcW w:w="1015" w:type="dxa"/>
          </w:tcPr>
          <w:p>
            <w:pPr>
              <w:pStyle w:val="TableParagraph"/>
              <w:spacing w:before="293"/>
              <w:ind w:right="182"/>
              <w:jc w:val="center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6</w:t>
            </w:r>
          </w:p>
        </w:tc>
        <w:tc>
          <w:tcPr>
            <w:tcW w:w="3390" w:type="dxa"/>
          </w:tcPr>
          <w:p>
            <w:pPr>
              <w:pStyle w:val="TableParagraph"/>
              <w:spacing w:before="210"/>
              <w:ind w:left="240" w:right="549"/>
              <w:jc w:val="center"/>
              <w:rPr>
                <w:sz w:val="36"/>
              </w:rPr>
            </w:pPr>
            <w:r>
              <w:rPr>
                <w:sz w:val="36"/>
              </w:rPr>
              <w:t>水电安装工程</w:t>
            </w:r>
          </w:p>
        </w:tc>
        <w:tc>
          <w:tcPr>
            <w:tcW w:w="8985" w:type="dxa"/>
          </w:tcPr>
          <w:p>
            <w:pPr>
              <w:pStyle w:val="TableParagraph"/>
              <w:spacing w:before="210"/>
              <w:ind w:left="609"/>
              <w:rPr>
                <w:sz w:val="36"/>
              </w:rPr>
            </w:pPr>
            <w:r>
              <w:rPr>
                <w:sz w:val="36"/>
              </w:rPr>
              <w:t>进入口大门右侧</w:t>
            </w:r>
          </w:p>
        </w:tc>
      </w:tr>
      <w:tr>
        <w:trPr>
          <w:trHeight w:val="779" w:hRule="exact"/>
        </w:trPr>
        <w:tc>
          <w:tcPr>
            <w:tcW w:w="1015" w:type="dxa"/>
          </w:tcPr>
          <w:p>
            <w:pPr>
              <w:pStyle w:val="TableParagraph"/>
              <w:spacing w:before="273"/>
              <w:ind w:right="182"/>
              <w:jc w:val="center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7</w:t>
            </w:r>
          </w:p>
        </w:tc>
        <w:tc>
          <w:tcPr>
            <w:tcW w:w="3390" w:type="dxa"/>
          </w:tcPr>
          <w:p>
            <w:pPr>
              <w:pStyle w:val="TableParagraph"/>
              <w:spacing w:before="190"/>
              <w:ind w:left="240" w:right="549"/>
              <w:jc w:val="center"/>
              <w:rPr>
                <w:sz w:val="36"/>
              </w:rPr>
            </w:pPr>
            <w:r>
              <w:rPr>
                <w:sz w:val="36"/>
              </w:rPr>
              <w:t>装饰样板工程</w:t>
            </w:r>
          </w:p>
        </w:tc>
        <w:tc>
          <w:tcPr>
            <w:tcW w:w="8985" w:type="dxa"/>
          </w:tcPr>
          <w:p>
            <w:pPr>
              <w:pStyle w:val="TableParagraph"/>
              <w:spacing w:before="190"/>
              <w:ind w:left="609"/>
              <w:rPr>
                <w:sz w:val="36"/>
              </w:rPr>
            </w:pPr>
            <w:r>
              <w:rPr>
                <w:sz w:val="36"/>
              </w:rPr>
              <w:t>进入口大门右侧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3"/>
        </w:rPr>
      </w:pPr>
    </w:p>
    <w:p>
      <w:pPr>
        <w:pStyle w:val="Heading1"/>
        <w:spacing w:line="551" w:lineRule="exact"/>
        <w:ind w:left="140"/>
      </w:pPr>
      <w:bookmarkStart w:name="_TOC_250001" w:id="3"/>
      <w:r>
        <w:rPr>
          <w:rFonts w:ascii="Arial" w:eastAsia="Arial"/>
        </w:rPr>
        <w:t>4</w:t>
      </w:r>
      <w:bookmarkEnd w:id="3"/>
      <w:r>
        <w:rPr/>
        <w:t>、施工准备</w:t>
      </w:r>
    </w:p>
    <w:p>
      <w:pPr>
        <w:pStyle w:val="BodyText"/>
        <w:spacing w:before="290"/>
        <w:ind w:left="140"/>
      </w:pPr>
      <w:r>
        <w:rPr>
          <w:rFonts w:ascii="Arial" w:eastAsia="Arial"/>
        </w:rPr>
        <w:t>4.1 </w:t>
      </w:r>
      <w:r>
        <w:rPr/>
        <w:t>、人员安排</w:t>
      </w:r>
    </w:p>
    <w:p>
      <w:pPr>
        <w:pStyle w:val="BodyText"/>
        <w:spacing w:before="243"/>
        <w:ind w:left="1060"/>
      </w:pPr>
      <w:r>
        <w:rPr/>
        <w:t>根据项目部的人员，由项目总统一调配人员组成样板制作指导、监督小组。</w:t>
      </w:r>
    </w:p>
    <w:p>
      <w:pPr>
        <w:pStyle w:val="BodyText"/>
        <w:spacing w:before="289"/>
        <w:ind w:left="140"/>
      </w:pPr>
      <w:r>
        <w:rPr>
          <w:rFonts w:ascii="Arial" w:eastAsia="Arial"/>
        </w:rPr>
        <w:t>4.2 </w:t>
      </w:r>
      <w:r>
        <w:rPr/>
        <w:t>、材料、机具准备</w:t>
      </w:r>
    </w:p>
    <w:p>
      <w:pPr>
        <w:pStyle w:val="BodyText"/>
        <w:tabs>
          <w:tab w:pos="1959" w:val="left" w:leader="none"/>
        </w:tabs>
        <w:spacing w:line="367" w:lineRule="auto" w:before="243"/>
        <w:ind w:left="920" w:right="1078"/>
      </w:pPr>
      <w:r>
        <w:rPr>
          <w:rFonts w:ascii="Arial" w:eastAsia="Arial"/>
        </w:rPr>
        <w:t>4.2.1</w:t>
        <w:tab/>
      </w:r>
      <w:r>
        <w:rPr/>
        <w:t>材料准备 材料供应，是保证工期与质量的最关键的一环。搞好材料供应，主要应抓好以下几</w:t>
      </w:r>
    </w:p>
    <w:p>
      <w:pPr>
        <w:pStyle w:val="BodyText"/>
        <w:spacing w:before="78"/>
        <w:ind w:left="140"/>
      </w:pPr>
      <w:r>
        <w:rPr/>
        <w:t>个方面：</w:t>
      </w:r>
    </w:p>
    <w:p>
      <w:pPr>
        <w:pStyle w:val="BodyText"/>
        <w:spacing w:before="289"/>
        <w:ind w:left="1040"/>
      </w:pPr>
      <w:r>
        <w:rPr>
          <w:rFonts w:ascii="Arial" w:eastAsia="Arial"/>
        </w:rPr>
        <w:t>(1) </w:t>
      </w:r>
      <w:r>
        <w:rPr/>
        <w:t>周密计划： 根据施工预算的工程量， 列出材料一览表， 做到周密细致、</w:t>
      </w:r>
      <w:r>
        <w:rPr>
          <w:spacing w:val="-80"/>
        </w:rPr>
        <w:t> </w:t>
      </w:r>
      <w:r>
        <w:rPr/>
        <w:t>无遗漏。</w:t>
      </w:r>
    </w:p>
    <w:p>
      <w:pPr>
        <w:pStyle w:val="BodyText"/>
        <w:spacing w:before="243"/>
        <w:ind w:left="1040"/>
      </w:pPr>
      <w:r>
        <w:rPr>
          <w:rFonts w:ascii="Arial" w:eastAsia="Arial"/>
        </w:rPr>
        <w:t>(2) </w:t>
      </w:r>
      <w:r>
        <w:rPr/>
        <w:t>及时采购：材料部门收到月材料需用计划后，及时编制采购计划，报项目经理</w:t>
      </w:r>
    </w:p>
    <w:p>
      <w:pPr>
        <w:pStyle w:val="BodyText"/>
        <w:spacing w:before="10"/>
        <w:rPr>
          <w:sz w:val="17"/>
        </w:rPr>
      </w:pPr>
    </w:p>
    <w:p>
      <w:pPr>
        <w:spacing w:before="67"/>
        <w:ind w:left="7066" w:right="6997" w:firstLine="0"/>
        <w:jc w:val="center"/>
        <w:rPr>
          <w:rFonts w:ascii="Arial"/>
          <w:b/>
          <w:sz w:val="26"/>
        </w:rPr>
      </w:pPr>
      <w:r>
        <w:rPr>
          <w:rFonts w:ascii="Arial"/>
          <w:b/>
          <w:sz w:val="26"/>
        </w:rPr>
        <w:t>3 </w:t>
      </w:r>
      <w:r>
        <w:rPr>
          <w:rFonts w:ascii="Arial"/>
          <w:sz w:val="26"/>
        </w:rPr>
        <w:t>/ </w:t>
      </w:r>
      <w:r>
        <w:rPr>
          <w:rFonts w:ascii="Arial"/>
          <w:b/>
          <w:sz w:val="26"/>
        </w:rPr>
        <w:t>12</w:t>
      </w:r>
    </w:p>
    <w:p>
      <w:pPr>
        <w:spacing w:after="0"/>
        <w:jc w:val="center"/>
        <w:rPr>
          <w:rFonts w:ascii="Arial"/>
          <w:sz w:val="26"/>
        </w:rPr>
        <w:sectPr>
          <w:pgSz w:w="19120" w:h="27080"/>
          <w:pgMar w:top="1940" w:bottom="280" w:left="2120" w:right="2040"/>
        </w:sectPr>
      </w:pPr>
    </w:p>
    <w:p>
      <w:pPr>
        <w:tabs>
          <w:tab w:pos="10379" w:val="left" w:leader="none"/>
        </w:tabs>
        <w:spacing w:line="352" w:lineRule="exact" w:before="0"/>
        <w:ind w:left="1520" w:right="0" w:firstLine="0"/>
        <w:jc w:val="left"/>
        <w:rPr>
          <w:rFonts w:ascii="PMingLiU" w:eastAsia="PMingLiU" w:hint="eastAsia"/>
          <w:sz w:val="26"/>
        </w:rPr>
      </w:pPr>
      <w:r>
        <w:rPr/>
        <w:drawing>
          <wp:anchor distT="0" distB="0" distL="0" distR="0" allowOverlap="1" layoutInCell="1" locked="0" behindDoc="1" simplePos="0" relativeHeight="268411367">
            <wp:simplePos x="0" y="0"/>
            <wp:positionH relativeFrom="page">
              <wp:posOffset>0</wp:posOffset>
            </wp:positionH>
            <wp:positionV relativeFrom="page">
              <wp:posOffset>45084</wp:posOffset>
            </wp:positionV>
            <wp:extent cx="12109335" cy="17150715"/>
            <wp:effectExtent l="0" t="0" r="0" b="0"/>
            <wp:wrapNone/>
            <wp:docPr id="7" name="image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9335" cy="1715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</w:rPr>
        <w:t>广东腾越建筑工程有限公司</w:t>
        <w:tab/>
      </w:r>
      <w:r>
        <w:rPr>
          <w:rFonts w:ascii="PMingLiU" w:eastAsia="PMingLiU" w:hint="eastAsia"/>
          <w:sz w:val="26"/>
        </w:rPr>
        <w:t>容县碧桂园一期住宅工法样板施工方案</w:t>
      </w:r>
    </w:p>
    <w:p>
      <w:pPr>
        <w:pStyle w:val="BodyText"/>
        <w:spacing w:line="376" w:lineRule="auto" w:before="47"/>
        <w:ind w:left="100"/>
      </w:pPr>
      <w:r>
        <w:rPr/>
        <w:t>审批后交采购员及时采购， 按照施工进度计划的要求， 及时组织材料的采购， 进场工作， 避免在施工中出现停工待料的情况。</w:t>
      </w:r>
    </w:p>
    <w:p>
      <w:pPr>
        <w:pStyle w:val="BodyText"/>
        <w:tabs>
          <w:tab w:pos="10639" w:val="left" w:leader="none"/>
        </w:tabs>
        <w:spacing w:line="367" w:lineRule="auto" w:before="83"/>
        <w:ind w:left="100" w:right="458" w:firstLine="780"/>
      </w:pPr>
      <w:r>
        <w:rPr>
          <w:rFonts w:ascii="Arial" w:eastAsia="Arial"/>
        </w:rPr>
        <w:t>(3) </w:t>
      </w:r>
      <w:r>
        <w:rPr/>
        <w:t>仔细检查：采购人员应把好第一道关，材料应有合格证明，严禁次品或不合格 材料进场。材料进场时，工地质量部门须组织认真的抽查、复检工作。建立材料员、质 量员、工地施工人员层层把关的检验制度，使材料合格率达到</w:t>
        <w:tab/>
      </w:r>
      <w:r>
        <w:rPr>
          <w:rFonts w:ascii="Arial" w:eastAsia="Arial"/>
          <w:spacing w:val="-2"/>
        </w:rPr>
        <w:t>100</w:t>
      </w:r>
      <w:r>
        <w:rPr>
          <w:spacing w:val="-2"/>
        </w:rPr>
        <w:t>％，不合格者坚决运 </w:t>
      </w:r>
      <w:r>
        <w:rPr/>
        <w:t>出施工现场。</w:t>
      </w:r>
    </w:p>
    <w:p>
      <w:pPr>
        <w:pStyle w:val="BodyText"/>
        <w:spacing w:line="376" w:lineRule="auto" w:before="98"/>
        <w:ind w:left="100" w:right="1060" w:firstLine="780"/>
      </w:pPr>
      <w:r>
        <w:rPr/>
        <w:t>为保证工程质量，在材料品种的选择特别是在一些主材料方面，必须经过考察与比 较，采用目前应用广泛的优良品种。</w:t>
      </w:r>
    </w:p>
    <w:p>
      <w:pPr>
        <w:pStyle w:val="BodyText"/>
        <w:spacing w:before="83"/>
        <w:ind w:left="880"/>
      </w:pPr>
      <w:r>
        <w:rPr/>
        <w:t>主要材料计划如下表所示：</w:t>
      </w:r>
    </w:p>
    <w:p>
      <w:pPr>
        <w:pStyle w:val="BodyText"/>
      </w:pPr>
    </w:p>
    <w:p>
      <w:pPr>
        <w:pStyle w:val="BodyText"/>
        <w:spacing w:before="8"/>
        <w:rPr>
          <w:sz w:val="42"/>
        </w:rPr>
      </w:pPr>
    </w:p>
    <w:p>
      <w:pPr>
        <w:pStyle w:val="BodyText"/>
        <w:ind w:left="6021" w:right="6339"/>
        <w:jc w:val="center"/>
      </w:pPr>
      <w:r>
        <w:rPr/>
        <w:t>主要材料计划表</w:t>
      </w:r>
    </w:p>
    <w:p>
      <w:pPr>
        <w:pStyle w:val="BodyText"/>
        <w:spacing w:before="5"/>
        <w:rPr>
          <w:sz w:val="40"/>
        </w:rPr>
      </w:pPr>
    </w:p>
    <w:p>
      <w:pPr>
        <w:pStyle w:val="BodyText"/>
        <w:tabs>
          <w:tab w:pos="5619" w:val="left" w:leader="none"/>
          <w:tab w:pos="8999" w:val="left" w:leader="none"/>
        </w:tabs>
        <w:ind w:left="3620"/>
      </w:pPr>
      <w:r>
        <w:rPr/>
        <w:t>序号</w:t>
        <w:tab/>
        <w:t>材料名称</w:t>
        <w:tab/>
        <w:t>材料规格</w:t>
      </w:r>
    </w:p>
    <w:p>
      <w:pPr>
        <w:pStyle w:val="BodyText"/>
      </w:pPr>
    </w:p>
    <w:p>
      <w:pPr>
        <w:pStyle w:val="BodyText"/>
        <w:tabs>
          <w:tab w:pos="2079" w:val="left" w:leader="none"/>
          <w:tab w:pos="4779" w:val="left" w:leader="none"/>
        </w:tabs>
        <w:ind w:right="217"/>
        <w:jc w:val="center"/>
        <w:rPr>
          <w:rFonts w:ascii="Arial" w:eastAsia="Arial"/>
        </w:rPr>
      </w:pPr>
      <w:r>
        <w:rPr>
          <w:rFonts w:ascii="Arial" w:eastAsia="Arial"/>
          <w:position w:val="-11"/>
        </w:rPr>
        <w:t>1</w:t>
        <w:tab/>
      </w:r>
      <w:r>
        <w:rPr>
          <w:position w:val="-11"/>
        </w:rPr>
        <w:t>模板</w:t>
        <w:tab/>
      </w:r>
      <w:r>
        <w:rPr>
          <w:rFonts w:ascii="Arial" w:eastAsia="Arial"/>
        </w:rPr>
        <w:t>18*1800*915</w:t>
      </w:r>
    </w:p>
    <w:p>
      <w:pPr>
        <w:pStyle w:val="BodyText"/>
        <w:rPr>
          <w:rFonts w:ascii="Arial"/>
          <w:sz w:val="20"/>
        </w:rPr>
      </w:pPr>
    </w:p>
    <w:p>
      <w:pPr>
        <w:pStyle w:val="BodyText"/>
        <w:spacing w:before="10" w:after="1"/>
        <w:rPr>
          <w:rFonts w:ascii="Arial"/>
          <w:sz w:val="29"/>
        </w:rPr>
      </w:pPr>
    </w:p>
    <w:tbl>
      <w:tblPr>
        <w:tblW w:w="0" w:type="auto"/>
        <w:jc w:val="left"/>
        <w:tblInd w:w="388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5"/>
        <w:gridCol w:w="3370"/>
        <w:gridCol w:w="2766"/>
      </w:tblGrid>
      <w:tr>
        <w:trPr>
          <w:trHeight w:val="669" w:hRule="exact"/>
        </w:trPr>
        <w:tc>
          <w:tcPr>
            <w:tcW w:w="795" w:type="dxa"/>
          </w:tcPr>
          <w:p>
            <w:pPr>
              <w:pStyle w:val="TableParagraph"/>
              <w:spacing w:line="386" w:lineRule="exact" w:before="0"/>
              <w:ind w:left="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2</w:t>
            </w:r>
          </w:p>
        </w:tc>
        <w:tc>
          <w:tcPr>
            <w:tcW w:w="3370" w:type="dxa"/>
          </w:tcPr>
          <w:p>
            <w:pPr>
              <w:pStyle w:val="TableParagraph"/>
              <w:spacing w:line="360" w:lineRule="exact" w:before="0"/>
              <w:ind w:left="540" w:right="548"/>
              <w:jc w:val="center"/>
              <w:rPr>
                <w:sz w:val="36"/>
              </w:rPr>
            </w:pPr>
            <w:r>
              <w:rPr>
                <w:sz w:val="36"/>
              </w:rPr>
              <w:t>木枋</w:t>
            </w:r>
          </w:p>
        </w:tc>
        <w:tc>
          <w:tcPr>
            <w:tcW w:w="2766" w:type="dxa"/>
          </w:tcPr>
          <w:p>
            <w:pPr>
              <w:pStyle w:val="TableParagraph"/>
              <w:spacing w:line="286" w:lineRule="exact" w:before="0"/>
              <w:ind w:right="33"/>
              <w:jc w:val="right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50*100*2000</w:t>
            </w:r>
          </w:p>
        </w:tc>
      </w:tr>
      <w:tr>
        <w:trPr>
          <w:trHeight w:val="970" w:hRule="exact"/>
        </w:trPr>
        <w:tc>
          <w:tcPr>
            <w:tcW w:w="795" w:type="dxa"/>
          </w:tcPr>
          <w:p>
            <w:pPr>
              <w:pStyle w:val="TableParagraph"/>
              <w:spacing w:before="263"/>
              <w:ind w:left="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3</w:t>
            </w:r>
          </w:p>
        </w:tc>
        <w:tc>
          <w:tcPr>
            <w:tcW w:w="3370" w:type="dxa"/>
          </w:tcPr>
          <w:p>
            <w:pPr>
              <w:pStyle w:val="TableParagraph"/>
              <w:spacing w:before="180"/>
              <w:ind w:left="540" w:right="548"/>
              <w:jc w:val="center"/>
              <w:rPr>
                <w:sz w:val="36"/>
              </w:rPr>
            </w:pPr>
            <w:r>
              <w:rPr>
                <w:sz w:val="36"/>
              </w:rPr>
              <w:t>钢管</w:t>
            </w:r>
          </w:p>
        </w:tc>
        <w:tc>
          <w:tcPr>
            <w:tcW w:w="2766" w:type="dxa"/>
          </w:tcPr>
          <w:p>
            <w:pPr>
              <w:pStyle w:val="TableParagraph"/>
              <w:spacing w:before="180"/>
              <w:ind w:left="850"/>
              <w:rPr>
                <w:rFonts w:ascii="Arial" w:hAnsi="Arial" w:eastAsia="Arial"/>
                <w:sz w:val="36"/>
              </w:rPr>
            </w:pPr>
            <w:r>
              <w:rPr>
                <w:sz w:val="36"/>
              </w:rPr>
              <w:t>φ</w:t>
            </w:r>
            <w:r>
              <w:rPr>
                <w:rFonts w:ascii="Arial" w:hAnsi="Arial" w:eastAsia="Arial"/>
                <w:sz w:val="36"/>
              </w:rPr>
              <w:t>48</w:t>
            </w:r>
            <w:r>
              <w:rPr>
                <w:sz w:val="36"/>
              </w:rPr>
              <w:t>、</w:t>
            </w:r>
            <w:r>
              <w:rPr>
                <w:rFonts w:ascii="Arial" w:hAnsi="Arial" w:eastAsia="Arial"/>
                <w:sz w:val="36"/>
              </w:rPr>
              <w:t>3.5</w:t>
            </w:r>
          </w:p>
        </w:tc>
      </w:tr>
      <w:tr>
        <w:trPr>
          <w:trHeight w:val="970" w:hRule="exact"/>
        </w:trPr>
        <w:tc>
          <w:tcPr>
            <w:tcW w:w="795" w:type="dxa"/>
          </w:tcPr>
          <w:p>
            <w:pPr>
              <w:pStyle w:val="TableParagraph"/>
              <w:spacing w:before="273"/>
              <w:ind w:left="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4</w:t>
            </w:r>
          </w:p>
        </w:tc>
        <w:tc>
          <w:tcPr>
            <w:tcW w:w="3370" w:type="dxa"/>
          </w:tcPr>
          <w:p>
            <w:pPr>
              <w:pStyle w:val="TableParagraph"/>
              <w:spacing w:before="190"/>
              <w:ind w:left="540" w:right="628"/>
              <w:jc w:val="center"/>
              <w:rPr>
                <w:sz w:val="36"/>
              </w:rPr>
            </w:pPr>
            <w:r>
              <w:rPr>
                <w:sz w:val="36"/>
              </w:rPr>
              <w:t>混凝土加气块</w:t>
            </w:r>
          </w:p>
        </w:tc>
        <w:tc>
          <w:tcPr>
            <w:tcW w:w="2766" w:type="dxa"/>
          </w:tcPr>
          <w:p>
            <w:pPr>
              <w:pStyle w:val="TableParagraph"/>
              <w:spacing w:before="273"/>
              <w:ind w:right="33"/>
              <w:jc w:val="right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200*200*600</w:t>
            </w:r>
          </w:p>
        </w:tc>
      </w:tr>
      <w:tr>
        <w:trPr>
          <w:trHeight w:val="960" w:hRule="exact"/>
        </w:trPr>
        <w:tc>
          <w:tcPr>
            <w:tcW w:w="795" w:type="dxa"/>
          </w:tcPr>
          <w:p>
            <w:pPr>
              <w:pStyle w:val="TableParagraph"/>
              <w:spacing w:before="263"/>
              <w:ind w:left="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5</w:t>
            </w:r>
          </w:p>
        </w:tc>
        <w:tc>
          <w:tcPr>
            <w:tcW w:w="3370" w:type="dxa"/>
          </w:tcPr>
          <w:p>
            <w:pPr>
              <w:pStyle w:val="TableParagraph"/>
              <w:spacing w:before="180"/>
              <w:ind w:left="540" w:right="588"/>
              <w:jc w:val="center"/>
              <w:rPr>
                <w:sz w:val="36"/>
              </w:rPr>
            </w:pPr>
            <w:r>
              <w:rPr>
                <w:sz w:val="36"/>
              </w:rPr>
              <w:t>可调顶托</w:t>
            </w:r>
          </w:p>
        </w:tc>
        <w:tc>
          <w:tcPr>
            <w:tcW w:w="2766" w:type="dxa"/>
          </w:tcPr>
          <w:p>
            <w:pPr>
              <w:pStyle w:val="TableParagraph"/>
              <w:spacing w:before="180"/>
              <w:ind w:left="770"/>
              <w:rPr>
                <w:sz w:val="36"/>
              </w:rPr>
            </w:pPr>
            <w:r>
              <w:rPr>
                <w:sz w:val="36"/>
              </w:rPr>
              <w:t>与钢管配套</w:t>
            </w:r>
          </w:p>
        </w:tc>
      </w:tr>
      <w:tr>
        <w:trPr>
          <w:trHeight w:val="970" w:hRule="exact"/>
        </w:trPr>
        <w:tc>
          <w:tcPr>
            <w:tcW w:w="795" w:type="dxa"/>
          </w:tcPr>
          <w:p>
            <w:pPr>
              <w:pStyle w:val="TableParagraph"/>
              <w:spacing w:before="263"/>
              <w:ind w:left="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6</w:t>
            </w:r>
          </w:p>
        </w:tc>
        <w:tc>
          <w:tcPr>
            <w:tcW w:w="3370" w:type="dxa"/>
          </w:tcPr>
          <w:p>
            <w:pPr>
              <w:pStyle w:val="TableParagraph"/>
              <w:spacing w:before="180"/>
              <w:ind w:left="540" w:right="548"/>
              <w:jc w:val="center"/>
              <w:rPr>
                <w:sz w:val="36"/>
              </w:rPr>
            </w:pPr>
            <w:r>
              <w:rPr>
                <w:sz w:val="36"/>
              </w:rPr>
              <w:t>钢筋</w:t>
            </w:r>
          </w:p>
        </w:tc>
        <w:tc>
          <w:tcPr>
            <w:tcW w:w="2766" w:type="dxa"/>
          </w:tcPr>
          <w:p>
            <w:pPr>
              <w:pStyle w:val="TableParagraph"/>
              <w:spacing w:before="263"/>
              <w:ind w:left="77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6/12/16/18</w:t>
            </w:r>
          </w:p>
        </w:tc>
      </w:tr>
      <w:tr>
        <w:trPr>
          <w:trHeight w:val="989" w:hRule="exact"/>
        </w:trPr>
        <w:tc>
          <w:tcPr>
            <w:tcW w:w="795" w:type="dxa"/>
          </w:tcPr>
          <w:p>
            <w:pPr>
              <w:pStyle w:val="TableParagraph"/>
              <w:spacing w:before="273"/>
              <w:ind w:left="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7</w:t>
            </w:r>
          </w:p>
        </w:tc>
        <w:tc>
          <w:tcPr>
            <w:tcW w:w="3370" w:type="dxa"/>
          </w:tcPr>
          <w:p>
            <w:pPr>
              <w:pStyle w:val="TableParagraph"/>
              <w:spacing w:before="190"/>
              <w:ind w:left="540" w:right="548"/>
              <w:jc w:val="center"/>
              <w:rPr>
                <w:sz w:val="36"/>
              </w:rPr>
            </w:pPr>
            <w:r>
              <w:rPr>
                <w:sz w:val="36"/>
              </w:rPr>
              <w:t>混凝土</w:t>
            </w:r>
          </w:p>
        </w:tc>
        <w:tc>
          <w:tcPr>
            <w:tcW w:w="2766" w:type="dxa"/>
          </w:tcPr>
          <w:p>
            <w:pPr>
              <w:pStyle w:val="TableParagraph"/>
              <w:spacing w:before="273"/>
              <w:ind w:left="138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C25</w:t>
            </w:r>
          </w:p>
        </w:tc>
      </w:tr>
      <w:tr>
        <w:trPr>
          <w:trHeight w:val="781" w:hRule="exact"/>
        </w:trPr>
        <w:tc>
          <w:tcPr>
            <w:tcW w:w="795" w:type="dxa"/>
          </w:tcPr>
          <w:p>
            <w:pPr>
              <w:pStyle w:val="TableParagraph"/>
              <w:spacing w:before="264"/>
              <w:ind w:left="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8</w:t>
            </w:r>
          </w:p>
        </w:tc>
        <w:tc>
          <w:tcPr>
            <w:tcW w:w="3370" w:type="dxa"/>
          </w:tcPr>
          <w:p>
            <w:pPr>
              <w:pStyle w:val="TableParagraph"/>
              <w:spacing w:before="202"/>
              <w:ind w:left="540" w:right="555"/>
              <w:jc w:val="center"/>
              <w:rPr>
                <w:rFonts w:ascii="PMingLiU" w:eastAsia="PMingLiU" w:hint="eastAsia"/>
                <w:sz w:val="36"/>
              </w:rPr>
            </w:pPr>
            <w:r>
              <w:rPr>
                <w:rFonts w:ascii="PMingLiU" w:eastAsia="PMingLiU" w:hint="eastAsia"/>
                <w:sz w:val="36"/>
              </w:rPr>
              <w:t>防水卷材</w:t>
            </w:r>
          </w:p>
        </w:tc>
        <w:tc>
          <w:tcPr>
            <w:tcW w:w="2766" w:type="dxa"/>
          </w:tcPr>
          <w:p>
            <w:pPr/>
          </w:p>
        </w:tc>
      </w:tr>
    </w:tbl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spacing w:line="357" w:lineRule="auto" w:before="121"/>
        <w:ind w:left="100" w:right="5080"/>
      </w:pPr>
      <w:r>
        <w:rPr>
          <w:rFonts w:ascii="Arial" w:eastAsia="Arial"/>
        </w:rPr>
        <w:t>4.2.2 </w:t>
      </w:r>
      <w:r>
        <w:rPr/>
        <w:t>、主要机械设备准备 主要施工机械设备表详见附表：拟投入的主要施工机械设备表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4"/>
        </w:rPr>
      </w:pPr>
    </w:p>
    <w:p>
      <w:pPr>
        <w:spacing w:before="67"/>
        <w:ind w:left="6021" w:right="5992" w:firstLine="0"/>
        <w:jc w:val="center"/>
        <w:rPr>
          <w:rFonts w:ascii="Arial"/>
          <w:b/>
          <w:sz w:val="26"/>
        </w:rPr>
      </w:pPr>
      <w:r>
        <w:rPr>
          <w:rFonts w:ascii="Arial"/>
          <w:b/>
          <w:sz w:val="26"/>
        </w:rPr>
        <w:t>4 </w:t>
      </w:r>
      <w:r>
        <w:rPr>
          <w:rFonts w:ascii="Arial"/>
          <w:sz w:val="26"/>
        </w:rPr>
        <w:t>/ </w:t>
      </w:r>
      <w:r>
        <w:rPr>
          <w:rFonts w:ascii="Arial"/>
          <w:b/>
          <w:sz w:val="26"/>
        </w:rPr>
        <w:t>12</w:t>
      </w:r>
    </w:p>
    <w:p>
      <w:pPr>
        <w:spacing w:after="0"/>
        <w:jc w:val="center"/>
        <w:rPr>
          <w:rFonts w:ascii="Arial"/>
          <w:sz w:val="26"/>
        </w:rPr>
        <w:sectPr>
          <w:pgSz w:w="19120" w:h="27080"/>
          <w:pgMar w:top="1940" w:bottom="280" w:left="2160" w:right="2040"/>
        </w:sectPr>
      </w:pPr>
    </w:p>
    <w:p>
      <w:pPr>
        <w:tabs>
          <w:tab w:pos="10379" w:val="left" w:leader="none"/>
        </w:tabs>
        <w:spacing w:line="352" w:lineRule="exact" w:before="0"/>
        <w:ind w:left="1520" w:right="0" w:firstLine="0"/>
        <w:jc w:val="left"/>
        <w:rPr>
          <w:rFonts w:ascii="PMingLiU" w:eastAsia="PMingLiU" w:hint="eastAsia"/>
          <w:sz w:val="26"/>
        </w:rPr>
      </w:pPr>
      <w:r>
        <w:rPr>
          <w:sz w:val="26"/>
        </w:rPr>
        <w:t>广东腾越建筑工程有限公司</w:t>
        <w:tab/>
      </w:r>
      <w:r>
        <w:rPr>
          <w:rFonts w:ascii="PMingLiU" w:eastAsia="PMingLiU" w:hint="eastAsia"/>
          <w:sz w:val="26"/>
        </w:rPr>
        <w:t>容县碧桂园一期住宅工法样板施工方案</w:t>
      </w:r>
    </w:p>
    <w:p>
      <w:pPr>
        <w:spacing w:after="0" w:line="352" w:lineRule="exact"/>
        <w:jc w:val="left"/>
        <w:rPr>
          <w:rFonts w:ascii="PMingLiU" w:eastAsia="PMingLiU" w:hint="eastAsia"/>
          <w:sz w:val="26"/>
        </w:rPr>
        <w:sectPr>
          <w:pgSz w:w="19120" w:h="27080"/>
          <w:pgMar w:top="1940" w:bottom="280" w:left="2160" w:right="2040"/>
        </w:sectPr>
      </w:pPr>
    </w:p>
    <w:p>
      <w:pPr>
        <w:pStyle w:val="BodyText"/>
        <w:spacing w:line="376" w:lineRule="exact" w:before="87"/>
        <w:ind w:left="2760" w:right="-20"/>
      </w:pPr>
      <w:r>
        <w:rPr/>
        <w:t>机械或设备</w:t>
      </w:r>
    </w:p>
    <w:p>
      <w:pPr>
        <w:pStyle w:val="BodyText"/>
        <w:spacing w:line="376" w:lineRule="exact"/>
        <w:ind w:left="1300" w:right="-20"/>
      </w:pPr>
      <w:r>
        <w:rPr/>
        <w:t>序号</w:t>
      </w:r>
    </w:p>
    <w:p>
      <w:pPr>
        <w:pStyle w:val="BodyText"/>
        <w:tabs>
          <w:tab w:pos="2119" w:val="left" w:leader="none"/>
        </w:tabs>
        <w:spacing w:line="376" w:lineRule="exact" w:before="87"/>
        <w:ind w:left="720"/>
        <w:jc w:val="center"/>
      </w:pPr>
      <w:r>
        <w:rPr/>
        <w:br w:type="column"/>
      </w:r>
      <w:r>
        <w:rPr/>
        <w:t>额定</w:t>
        <w:tab/>
        <w:t>生产</w:t>
      </w:r>
    </w:p>
    <w:p>
      <w:pPr>
        <w:pStyle w:val="BodyText"/>
        <w:tabs>
          <w:tab w:pos="3019" w:val="left" w:leader="none"/>
        </w:tabs>
        <w:spacing w:line="376" w:lineRule="exact"/>
        <w:ind w:left="780"/>
      </w:pPr>
      <w:r>
        <w:rPr/>
        <w:t>型号规格</w:t>
        <w:tab/>
        <w:t>数量</w:t>
      </w:r>
    </w:p>
    <w:p>
      <w:pPr>
        <w:spacing w:after="0" w:line="376" w:lineRule="exact"/>
        <w:sectPr>
          <w:type w:val="continuous"/>
          <w:pgSz w:w="19120" w:h="27080"/>
          <w:pgMar w:top="1940" w:bottom="280" w:left="2160" w:right="2040"/>
          <w:cols w:num="2" w:equalWidth="0">
            <w:col w:w="4560" w:space="40"/>
            <w:col w:w="10320"/>
          </w:cols>
        </w:sectPr>
      </w:pPr>
    </w:p>
    <w:p>
      <w:pPr>
        <w:pStyle w:val="BodyText"/>
        <w:rPr>
          <w:sz w:val="3"/>
        </w:rPr>
      </w:pPr>
      <w:r>
        <w:rPr/>
        <w:drawing>
          <wp:anchor distT="0" distB="0" distL="0" distR="0" allowOverlap="1" layoutInCell="1" locked="0" behindDoc="1" simplePos="0" relativeHeight="268411391">
            <wp:simplePos x="0" y="0"/>
            <wp:positionH relativeFrom="page">
              <wp:posOffset>0</wp:posOffset>
            </wp:positionH>
            <wp:positionV relativeFrom="page">
              <wp:posOffset>45084</wp:posOffset>
            </wp:positionV>
            <wp:extent cx="12109335" cy="17150715"/>
            <wp:effectExtent l="0" t="0" r="0" b="0"/>
            <wp:wrapNone/>
            <wp:docPr id="9" name="image4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9335" cy="1715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jc w:val="left"/>
        <w:tblInd w:w="14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65"/>
        <w:gridCol w:w="2590"/>
        <w:gridCol w:w="2491"/>
        <w:gridCol w:w="1219"/>
        <w:gridCol w:w="1570"/>
        <w:gridCol w:w="1015"/>
      </w:tblGrid>
      <w:tr>
        <w:trPr>
          <w:trHeight w:val="530" w:hRule="exact"/>
        </w:trPr>
        <w:tc>
          <w:tcPr>
            <w:tcW w:w="865" w:type="dxa"/>
          </w:tcPr>
          <w:p>
            <w:pPr/>
          </w:p>
        </w:tc>
        <w:tc>
          <w:tcPr>
            <w:tcW w:w="2590" w:type="dxa"/>
          </w:tcPr>
          <w:p>
            <w:pPr>
              <w:pStyle w:val="TableParagraph"/>
              <w:tabs>
                <w:tab w:pos="1349" w:val="left" w:leader="none"/>
              </w:tabs>
              <w:spacing w:line="420" w:lineRule="exact" w:before="0"/>
              <w:ind w:left="189"/>
              <w:jc w:val="center"/>
              <w:rPr>
                <w:sz w:val="36"/>
              </w:rPr>
            </w:pPr>
            <w:r>
              <w:rPr>
                <w:sz w:val="36"/>
              </w:rPr>
              <w:t>名</w:t>
              <w:tab/>
              <w:t>称</w:t>
            </w:r>
          </w:p>
        </w:tc>
        <w:tc>
          <w:tcPr>
            <w:tcW w:w="2491" w:type="dxa"/>
          </w:tcPr>
          <w:p>
            <w:pPr/>
          </w:p>
        </w:tc>
        <w:tc>
          <w:tcPr>
            <w:tcW w:w="1219" w:type="dxa"/>
          </w:tcPr>
          <w:p>
            <w:pPr/>
          </w:p>
        </w:tc>
        <w:tc>
          <w:tcPr>
            <w:tcW w:w="1570" w:type="dxa"/>
          </w:tcPr>
          <w:p>
            <w:pPr>
              <w:pStyle w:val="TableParagraph"/>
              <w:spacing w:line="420" w:lineRule="exact" w:before="0"/>
              <w:ind w:left="430"/>
              <w:rPr>
                <w:sz w:val="36"/>
              </w:rPr>
            </w:pPr>
            <w:r>
              <w:rPr>
                <w:sz w:val="36"/>
              </w:rPr>
              <w:t>功率</w:t>
            </w:r>
          </w:p>
        </w:tc>
        <w:tc>
          <w:tcPr>
            <w:tcW w:w="1015" w:type="dxa"/>
          </w:tcPr>
          <w:p>
            <w:pPr>
              <w:pStyle w:val="TableParagraph"/>
              <w:spacing w:line="420" w:lineRule="exact" w:before="0"/>
              <w:ind w:right="33"/>
              <w:jc w:val="right"/>
              <w:rPr>
                <w:sz w:val="36"/>
              </w:rPr>
            </w:pPr>
            <w:r>
              <w:rPr>
                <w:sz w:val="36"/>
              </w:rPr>
              <w:t>能力</w:t>
            </w:r>
          </w:p>
        </w:tc>
      </w:tr>
      <w:tr>
        <w:trPr>
          <w:trHeight w:val="699" w:hRule="exact"/>
        </w:trPr>
        <w:tc>
          <w:tcPr>
            <w:tcW w:w="865" w:type="dxa"/>
          </w:tcPr>
          <w:p>
            <w:pPr>
              <w:pStyle w:val="TableParagraph"/>
              <w:spacing w:before="81"/>
              <w:ind w:left="1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1</w:t>
            </w:r>
          </w:p>
        </w:tc>
        <w:tc>
          <w:tcPr>
            <w:tcW w:w="2590" w:type="dxa"/>
          </w:tcPr>
          <w:p>
            <w:pPr>
              <w:pStyle w:val="TableParagraph"/>
              <w:spacing w:line="470" w:lineRule="exact" w:before="0"/>
              <w:ind w:left="109"/>
              <w:jc w:val="center"/>
              <w:rPr>
                <w:sz w:val="36"/>
              </w:rPr>
            </w:pPr>
            <w:r>
              <w:rPr>
                <w:sz w:val="36"/>
              </w:rPr>
              <w:t>砼输送泵</w:t>
            </w:r>
          </w:p>
        </w:tc>
        <w:tc>
          <w:tcPr>
            <w:tcW w:w="2491" w:type="dxa"/>
          </w:tcPr>
          <w:p>
            <w:pPr>
              <w:pStyle w:val="TableParagraph"/>
              <w:spacing w:before="81"/>
              <w:ind w:left="66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HBT60A</w:t>
            </w:r>
          </w:p>
        </w:tc>
        <w:tc>
          <w:tcPr>
            <w:tcW w:w="1219" w:type="dxa"/>
          </w:tcPr>
          <w:p>
            <w:pPr>
              <w:pStyle w:val="TableParagraph"/>
              <w:spacing w:line="496" w:lineRule="exact" w:before="0"/>
              <w:ind w:left="248"/>
              <w:rPr>
                <w:sz w:val="36"/>
              </w:rPr>
            </w:pPr>
            <w:r>
              <w:rPr>
                <w:rFonts w:ascii="Arial" w:eastAsia="Arial"/>
                <w:sz w:val="36"/>
              </w:rPr>
              <w:t>1 </w:t>
            </w:r>
            <w:r>
              <w:rPr>
                <w:sz w:val="36"/>
              </w:rPr>
              <w:t>台</w:t>
            </w:r>
          </w:p>
        </w:tc>
        <w:tc>
          <w:tcPr>
            <w:tcW w:w="1570" w:type="dxa"/>
          </w:tcPr>
          <w:p>
            <w:pPr>
              <w:pStyle w:val="TableParagraph"/>
              <w:spacing w:line="470" w:lineRule="exact" w:before="0"/>
              <w:ind w:left="430"/>
              <w:rPr>
                <w:sz w:val="36"/>
              </w:rPr>
            </w:pPr>
            <w:r>
              <w:rPr>
                <w:sz w:val="36"/>
              </w:rPr>
              <w:t>柴油</w:t>
            </w:r>
          </w:p>
        </w:tc>
        <w:tc>
          <w:tcPr>
            <w:tcW w:w="1015" w:type="dxa"/>
          </w:tcPr>
          <w:p>
            <w:pPr>
              <w:pStyle w:val="TableParagraph"/>
              <w:spacing w:line="470" w:lineRule="exact" w:before="0"/>
              <w:ind w:right="33"/>
              <w:jc w:val="right"/>
              <w:rPr>
                <w:sz w:val="36"/>
              </w:rPr>
            </w:pPr>
            <w:r>
              <w:rPr>
                <w:sz w:val="36"/>
              </w:rPr>
              <w:t>良好</w:t>
            </w:r>
          </w:p>
        </w:tc>
      </w:tr>
      <w:tr>
        <w:trPr>
          <w:trHeight w:val="790" w:hRule="exact"/>
        </w:trPr>
        <w:tc>
          <w:tcPr>
            <w:tcW w:w="865" w:type="dxa"/>
          </w:tcPr>
          <w:p>
            <w:pPr>
              <w:pStyle w:val="TableParagraph"/>
              <w:spacing w:before="183"/>
              <w:ind w:left="1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2</w:t>
            </w:r>
          </w:p>
        </w:tc>
        <w:tc>
          <w:tcPr>
            <w:tcW w:w="2590" w:type="dxa"/>
          </w:tcPr>
          <w:p>
            <w:pPr>
              <w:pStyle w:val="TableParagraph"/>
              <w:spacing w:before="100"/>
              <w:ind w:left="109"/>
              <w:jc w:val="center"/>
              <w:rPr>
                <w:sz w:val="36"/>
              </w:rPr>
            </w:pPr>
            <w:r>
              <w:rPr>
                <w:sz w:val="36"/>
              </w:rPr>
              <w:t>电弧焊机</w:t>
            </w:r>
          </w:p>
        </w:tc>
        <w:tc>
          <w:tcPr>
            <w:tcW w:w="2491" w:type="dxa"/>
          </w:tcPr>
          <w:p>
            <w:pPr>
              <w:pStyle w:val="TableParagraph"/>
              <w:spacing w:before="183"/>
              <w:ind w:left="54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BX3-300</w:t>
            </w:r>
          </w:p>
        </w:tc>
        <w:tc>
          <w:tcPr>
            <w:tcW w:w="1219" w:type="dxa"/>
          </w:tcPr>
          <w:p>
            <w:pPr>
              <w:pStyle w:val="TableParagraph"/>
              <w:spacing w:before="100"/>
              <w:ind w:left="248"/>
              <w:rPr>
                <w:sz w:val="36"/>
              </w:rPr>
            </w:pPr>
            <w:r>
              <w:rPr>
                <w:rFonts w:ascii="Arial" w:eastAsia="Arial"/>
                <w:sz w:val="36"/>
              </w:rPr>
              <w:t>1 </w:t>
            </w:r>
            <w:r>
              <w:rPr>
                <w:sz w:val="36"/>
              </w:rPr>
              <w:t>台</w:t>
            </w:r>
          </w:p>
        </w:tc>
        <w:tc>
          <w:tcPr>
            <w:tcW w:w="1570" w:type="dxa"/>
          </w:tcPr>
          <w:p>
            <w:pPr>
              <w:pStyle w:val="TableParagraph"/>
              <w:spacing w:before="183"/>
              <w:ind w:left="31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30kvA</w:t>
            </w:r>
          </w:p>
        </w:tc>
        <w:tc>
          <w:tcPr>
            <w:tcW w:w="1015" w:type="dxa"/>
          </w:tcPr>
          <w:p>
            <w:pPr>
              <w:pStyle w:val="TableParagraph"/>
              <w:spacing w:before="100"/>
              <w:ind w:right="33"/>
              <w:jc w:val="right"/>
              <w:rPr>
                <w:sz w:val="36"/>
              </w:rPr>
            </w:pPr>
            <w:r>
              <w:rPr>
                <w:sz w:val="36"/>
              </w:rPr>
              <w:t>良好</w:t>
            </w:r>
          </w:p>
        </w:tc>
      </w:tr>
      <w:tr>
        <w:trPr>
          <w:trHeight w:val="780" w:hRule="exact"/>
        </w:trPr>
        <w:tc>
          <w:tcPr>
            <w:tcW w:w="865" w:type="dxa"/>
          </w:tcPr>
          <w:p>
            <w:pPr>
              <w:pStyle w:val="TableParagraph"/>
              <w:spacing w:before="173"/>
              <w:ind w:left="1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3</w:t>
            </w:r>
          </w:p>
        </w:tc>
        <w:tc>
          <w:tcPr>
            <w:tcW w:w="2590" w:type="dxa"/>
          </w:tcPr>
          <w:p>
            <w:pPr>
              <w:pStyle w:val="TableParagraph"/>
              <w:ind w:left="69"/>
              <w:jc w:val="center"/>
              <w:rPr>
                <w:sz w:val="36"/>
              </w:rPr>
            </w:pPr>
            <w:r>
              <w:rPr>
                <w:sz w:val="36"/>
              </w:rPr>
              <w:t>砂轮切割机</w:t>
            </w:r>
          </w:p>
        </w:tc>
        <w:tc>
          <w:tcPr>
            <w:tcW w:w="2491" w:type="dxa"/>
          </w:tcPr>
          <w:p>
            <w:pPr/>
          </w:p>
        </w:tc>
        <w:tc>
          <w:tcPr>
            <w:tcW w:w="1219" w:type="dxa"/>
          </w:tcPr>
          <w:p>
            <w:pPr>
              <w:pStyle w:val="TableParagraph"/>
              <w:ind w:left="248"/>
              <w:rPr>
                <w:sz w:val="36"/>
              </w:rPr>
            </w:pPr>
            <w:r>
              <w:rPr>
                <w:rFonts w:ascii="Arial" w:eastAsia="Arial"/>
                <w:sz w:val="36"/>
              </w:rPr>
              <w:t>1 </w:t>
            </w:r>
            <w:r>
              <w:rPr>
                <w:sz w:val="36"/>
              </w:rPr>
              <w:t>台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3"/>
              <w:ind w:left="51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5kw</w:t>
            </w:r>
          </w:p>
        </w:tc>
        <w:tc>
          <w:tcPr>
            <w:tcW w:w="1015" w:type="dxa"/>
          </w:tcPr>
          <w:p>
            <w:pPr>
              <w:pStyle w:val="TableParagraph"/>
              <w:ind w:right="33"/>
              <w:jc w:val="right"/>
              <w:rPr>
                <w:sz w:val="36"/>
              </w:rPr>
            </w:pPr>
            <w:r>
              <w:rPr>
                <w:sz w:val="36"/>
              </w:rPr>
              <w:t>良好</w:t>
            </w:r>
          </w:p>
        </w:tc>
      </w:tr>
      <w:tr>
        <w:trPr>
          <w:trHeight w:val="790" w:hRule="exact"/>
        </w:trPr>
        <w:tc>
          <w:tcPr>
            <w:tcW w:w="865" w:type="dxa"/>
          </w:tcPr>
          <w:p>
            <w:pPr>
              <w:pStyle w:val="TableParagraph"/>
              <w:spacing w:before="173"/>
              <w:ind w:left="1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4</w:t>
            </w:r>
          </w:p>
        </w:tc>
        <w:tc>
          <w:tcPr>
            <w:tcW w:w="2590" w:type="dxa"/>
          </w:tcPr>
          <w:p>
            <w:pPr>
              <w:pStyle w:val="TableParagraph"/>
              <w:ind w:left="69"/>
              <w:jc w:val="center"/>
              <w:rPr>
                <w:sz w:val="36"/>
              </w:rPr>
            </w:pPr>
            <w:r>
              <w:rPr>
                <w:sz w:val="36"/>
              </w:rPr>
              <w:t>钢筋切断机</w:t>
            </w:r>
          </w:p>
        </w:tc>
        <w:tc>
          <w:tcPr>
            <w:tcW w:w="2491" w:type="dxa"/>
          </w:tcPr>
          <w:p>
            <w:pPr>
              <w:pStyle w:val="TableParagraph"/>
              <w:spacing w:before="173"/>
              <w:ind w:left="36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GQ40-1200</w:t>
            </w:r>
          </w:p>
        </w:tc>
        <w:tc>
          <w:tcPr>
            <w:tcW w:w="1219" w:type="dxa"/>
          </w:tcPr>
          <w:p>
            <w:pPr>
              <w:pStyle w:val="TableParagraph"/>
              <w:ind w:left="248"/>
              <w:rPr>
                <w:sz w:val="36"/>
              </w:rPr>
            </w:pPr>
            <w:r>
              <w:rPr>
                <w:rFonts w:ascii="Arial" w:eastAsia="Arial"/>
                <w:sz w:val="36"/>
              </w:rPr>
              <w:t>1 </w:t>
            </w:r>
            <w:r>
              <w:rPr>
                <w:sz w:val="36"/>
              </w:rPr>
              <w:t>台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3"/>
              <w:ind w:left="51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5kw</w:t>
            </w:r>
          </w:p>
        </w:tc>
        <w:tc>
          <w:tcPr>
            <w:tcW w:w="1015" w:type="dxa"/>
          </w:tcPr>
          <w:p>
            <w:pPr>
              <w:pStyle w:val="TableParagraph"/>
              <w:ind w:right="33"/>
              <w:jc w:val="right"/>
              <w:rPr>
                <w:sz w:val="36"/>
              </w:rPr>
            </w:pPr>
            <w:r>
              <w:rPr>
                <w:sz w:val="36"/>
              </w:rPr>
              <w:t>良好</w:t>
            </w:r>
          </w:p>
        </w:tc>
      </w:tr>
      <w:tr>
        <w:trPr>
          <w:trHeight w:val="800" w:hRule="exact"/>
        </w:trPr>
        <w:tc>
          <w:tcPr>
            <w:tcW w:w="865" w:type="dxa"/>
          </w:tcPr>
          <w:p>
            <w:pPr>
              <w:pStyle w:val="TableParagraph"/>
              <w:spacing w:before="183"/>
              <w:ind w:left="1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5</w:t>
            </w:r>
          </w:p>
        </w:tc>
        <w:tc>
          <w:tcPr>
            <w:tcW w:w="2590" w:type="dxa"/>
          </w:tcPr>
          <w:p>
            <w:pPr>
              <w:pStyle w:val="TableParagraph"/>
              <w:spacing w:before="100"/>
              <w:ind w:left="69"/>
              <w:jc w:val="center"/>
              <w:rPr>
                <w:sz w:val="36"/>
              </w:rPr>
            </w:pPr>
            <w:r>
              <w:rPr>
                <w:sz w:val="36"/>
              </w:rPr>
              <w:t>钢筋弯曲机</w:t>
            </w:r>
          </w:p>
        </w:tc>
        <w:tc>
          <w:tcPr>
            <w:tcW w:w="2491" w:type="dxa"/>
          </w:tcPr>
          <w:p>
            <w:pPr>
              <w:pStyle w:val="TableParagraph"/>
              <w:spacing w:before="183"/>
              <w:ind w:left="66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GWB-40</w:t>
            </w:r>
          </w:p>
        </w:tc>
        <w:tc>
          <w:tcPr>
            <w:tcW w:w="1219" w:type="dxa"/>
          </w:tcPr>
          <w:p>
            <w:pPr>
              <w:pStyle w:val="TableParagraph"/>
              <w:spacing w:before="100"/>
              <w:ind w:left="248"/>
              <w:rPr>
                <w:sz w:val="36"/>
              </w:rPr>
            </w:pPr>
            <w:r>
              <w:rPr>
                <w:rFonts w:ascii="Arial" w:eastAsia="Arial"/>
                <w:sz w:val="36"/>
              </w:rPr>
              <w:t>1 </w:t>
            </w:r>
            <w:r>
              <w:rPr>
                <w:sz w:val="36"/>
              </w:rPr>
              <w:t>台</w:t>
            </w:r>
          </w:p>
        </w:tc>
        <w:tc>
          <w:tcPr>
            <w:tcW w:w="1570" w:type="dxa"/>
          </w:tcPr>
          <w:p>
            <w:pPr>
              <w:pStyle w:val="TableParagraph"/>
              <w:spacing w:before="183"/>
              <w:ind w:left="51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5kw</w:t>
            </w:r>
          </w:p>
        </w:tc>
        <w:tc>
          <w:tcPr>
            <w:tcW w:w="1015" w:type="dxa"/>
          </w:tcPr>
          <w:p>
            <w:pPr>
              <w:pStyle w:val="TableParagraph"/>
              <w:spacing w:before="100"/>
              <w:ind w:right="33"/>
              <w:jc w:val="right"/>
              <w:rPr>
                <w:sz w:val="36"/>
              </w:rPr>
            </w:pPr>
            <w:r>
              <w:rPr>
                <w:sz w:val="36"/>
              </w:rPr>
              <w:t>良好</w:t>
            </w:r>
          </w:p>
        </w:tc>
      </w:tr>
      <w:tr>
        <w:trPr>
          <w:trHeight w:val="790" w:hRule="exact"/>
        </w:trPr>
        <w:tc>
          <w:tcPr>
            <w:tcW w:w="865" w:type="dxa"/>
          </w:tcPr>
          <w:p>
            <w:pPr>
              <w:pStyle w:val="TableParagraph"/>
              <w:spacing w:before="183"/>
              <w:ind w:left="1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6</w:t>
            </w:r>
          </w:p>
        </w:tc>
        <w:tc>
          <w:tcPr>
            <w:tcW w:w="2590" w:type="dxa"/>
          </w:tcPr>
          <w:p>
            <w:pPr>
              <w:pStyle w:val="TableParagraph"/>
              <w:spacing w:before="100"/>
              <w:ind w:left="69"/>
              <w:jc w:val="center"/>
              <w:rPr>
                <w:sz w:val="36"/>
              </w:rPr>
            </w:pPr>
            <w:r>
              <w:rPr>
                <w:sz w:val="36"/>
              </w:rPr>
              <w:t>钢筋调直机</w:t>
            </w:r>
          </w:p>
        </w:tc>
        <w:tc>
          <w:tcPr>
            <w:tcW w:w="2491" w:type="dxa"/>
          </w:tcPr>
          <w:p>
            <w:pPr>
              <w:pStyle w:val="TableParagraph"/>
              <w:spacing w:before="183"/>
              <w:ind w:left="74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JTK-1</w:t>
            </w:r>
          </w:p>
        </w:tc>
        <w:tc>
          <w:tcPr>
            <w:tcW w:w="1219" w:type="dxa"/>
          </w:tcPr>
          <w:p>
            <w:pPr>
              <w:pStyle w:val="TableParagraph"/>
              <w:spacing w:before="100"/>
              <w:ind w:left="248"/>
              <w:rPr>
                <w:sz w:val="36"/>
              </w:rPr>
            </w:pPr>
            <w:r>
              <w:rPr>
                <w:rFonts w:ascii="Arial" w:eastAsia="Arial"/>
                <w:sz w:val="36"/>
              </w:rPr>
              <w:t>1 </w:t>
            </w:r>
            <w:r>
              <w:rPr>
                <w:sz w:val="36"/>
              </w:rPr>
              <w:t>台</w:t>
            </w:r>
          </w:p>
        </w:tc>
        <w:tc>
          <w:tcPr>
            <w:tcW w:w="1570" w:type="dxa"/>
          </w:tcPr>
          <w:p>
            <w:pPr>
              <w:pStyle w:val="TableParagraph"/>
              <w:spacing w:before="183"/>
              <w:ind w:left="51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5kw</w:t>
            </w:r>
          </w:p>
        </w:tc>
        <w:tc>
          <w:tcPr>
            <w:tcW w:w="1015" w:type="dxa"/>
          </w:tcPr>
          <w:p>
            <w:pPr>
              <w:pStyle w:val="TableParagraph"/>
              <w:spacing w:before="100"/>
              <w:ind w:right="33"/>
              <w:jc w:val="right"/>
              <w:rPr>
                <w:sz w:val="36"/>
              </w:rPr>
            </w:pPr>
            <w:r>
              <w:rPr>
                <w:sz w:val="36"/>
              </w:rPr>
              <w:t>良好</w:t>
            </w:r>
          </w:p>
        </w:tc>
      </w:tr>
      <w:tr>
        <w:trPr>
          <w:trHeight w:val="780" w:hRule="exact"/>
        </w:trPr>
        <w:tc>
          <w:tcPr>
            <w:tcW w:w="865" w:type="dxa"/>
          </w:tcPr>
          <w:p>
            <w:pPr>
              <w:pStyle w:val="TableParagraph"/>
              <w:spacing w:before="173"/>
              <w:ind w:left="1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5</w:t>
            </w:r>
          </w:p>
        </w:tc>
        <w:tc>
          <w:tcPr>
            <w:tcW w:w="2590" w:type="dxa"/>
          </w:tcPr>
          <w:p>
            <w:pPr>
              <w:pStyle w:val="TableParagraph"/>
              <w:ind w:left="69"/>
              <w:jc w:val="center"/>
              <w:rPr>
                <w:sz w:val="36"/>
              </w:rPr>
            </w:pPr>
            <w:r>
              <w:rPr>
                <w:sz w:val="36"/>
              </w:rPr>
              <w:t>插入式振动</w:t>
            </w:r>
          </w:p>
        </w:tc>
        <w:tc>
          <w:tcPr>
            <w:tcW w:w="2491" w:type="dxa"/>
          </w:tcPr>
          <w:p>
            <w:pPr>
              <w:pStyle w:val="TableParagraph"/>
              <w:spacing w:before="110"/>
              <w:ind w:left="821" w:right="829"/>
              <w:jc w:val="center"/>
              <w:rPr>
                <w:rFonts w:ascii="Arial" w:hAnsi="Arial"/>
                <w:sz w:val="36"/>
              </w:rPr>
            </w:pPr>
            <w:r>
              <w:rPr>
                <w:sz w:val="36"/>
              </w:rPr>
              <w:t>φ</w:t>
            </w:r>
            <w:r>
              <w:rPr>
                <w:spacing w:val="-142"/>
                <w:sz w:val="36"/>
              </w:rPr>
              <w:t> </w:t>
            </w:r>
            <w:r>
              <w:rPr>
                <w:rFonts w:ascii="Arial" w:hAnsi="Arial"/>
                <w:sz w:val="36"/>
              </w:rPr>
              <w:t>50</w:t>
            </w:r>
          </w:p>
        </w:tc>
        <w:tc>
          <w:tcPr>
            <w:tcW w:w="1219" w:type="dxa"/>
          </w:tcPr>
          <w:p>
            <w:pPr>
              <w:pStyle w:val="TableParagraph"/>
              <w:spacing w:before="110"/>
              <w:ind w:left="248"/>
              <w:rPr>
                <w:sz w:val="36"/>
              </w:rPr>
            </w:pPr>
            <w:r>
              <w:rPr>
                <w:rFonts w:ascii="Arial" w:eastAsia="Arial"/>
                <w:sz w:val="36"/>
              </w:rPr>
              <w:t>1 </w:t>
            </w:r>
            <w:r>
              <w:rPr>
                <w:sz w:val="36"/>
              </w:rPr>
              <w:t>个</w:t>
            </w:r>
          </w:p>
        </w:tc>
        <w:tc>
          <w:tcPr>
            <w:tcW w:w="1570" w:type="dxa"/>
          </w:tcPr>
          <w:p>
            <w:pPr>
              <w:pStyle w:val="TableParagraph"/>
              <w:spacing w:before="193"/>
              <w:ind w:left="31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1.1kw</w:t>
            </w:r>
          </w:p>
        </w:tc>
        <w:tc>
          <w:tcPr>
            <w:tcW w:w="1015" w:type="dxa"/>
          </w:tcPr>
          <w:p>
            <w:pPr>
              <w:pStyle w:val="TableParagraph"/>
              <w:spacing w:before="110"/>
              <w:ind w:right="33"/>
              <w:jc w:val="right"/>
              <w:rPr>
                <w:sz w:val="36"/>
              </w:rPr>
            </w:pPr>
            <w:r>
              <w:rPr>
                <w:sz w:val="36"/>
              </w:rPr>
              <w:t>良好</w:t>
            </w:r>
          </w:p>
        </w:tc>
      </w:tr>
      <w:tr>
        <w:trPr>
          <w:trHeight w:val="790" w:hRule="exact"/>
        </w:trPr>
        <w:tc>
          <w:tcPr>
            <w:tcW w:w="865" w:type="dxa"/>
          </w:tcPr>
          <w:p>
            <w:pPr>
              <w:pStyle w:val="TableParagraph"/>
              <w:spacing w:before="193"/>
              <w:ind w:left="1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6</w:t>
            </w:r>
          </w:p>
        </w:tc>
        <w:tc>
          <w:tcPr>
            <w:tcW w:w="2590" w:type="dxa"/>
          </w:tcPr>
          <w:p>
            <w:pPr>
              <w:pStyle w:val="TableParagraph"/>
              <w:spacing w:before="70"/>
              <w:ind w:left="69"/>
              <w:jc w:val="center"/>
              <w:rPr>
                <w:sz w:val="36"/>
              </w:rPr>
            </w:pPr>
            <w:r>
              <w:rPr>
                <w:sz w:val="36"/>
              </w:rPr>
              <w:t>平板</w:t>
            </w:r>
            <w:r>
              <w:rPr>
                <w:spacing w:val="-300"/>
                <w:sz w:val="36"/>
              </w:rPr>
              <w:t>式</w:t>
            </w:r>
            <w:r>
              <w:rPr>
                <w:spacing w:val="-60"/>
                <w:position w:val="4"/>
                <w:sz w:val="36"/>
              </w:rPr>
              <w:t>器</w:t>
            </w:r>
            <w:r>
              <w:rPr>
                <w:sz w:val="36"/>
              </w:rPr>
              <w:t>振动</w:t>
            </w:r>
          </w:p>
        </w:tc>
        <w:tc>
          <w:tcPr>
            <w:tcW w:w="2491" w:type="dxa"/>
          </w:tcPr>
          <w:p>
            <w:pPr>
              <w:pStyle w:val="TableParagraph"/>
              <w:spacing w:before="193"/>
              <w:ind w:left="74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Zw0.5</w:t>
            </w:r>
          </w:p>
        </w:tc>
        <w:tc>
          <w:tcPr>
            <w:tcW w:w="1219" w:type="dxa"/>
          </w:tcPr>
          <w:p>
            <w:pPr>
              <w:pStyle w:val="TableParagraph"/>
              <w:spacing w:before="110"/>
              <w:ind w:left="248"/>
              <w:rPr>
                <w:sz w:val="36"/>
              </w:rPr>
            </w:pPr>
            <w:r>
              <w:rPr>
                <w:rFonts w:ascii="Arial" w:eastAsia="Arial"/>
                <w:sz w:val="36"/>
              </w:rPr>
              <w:t>1 </w:t>
            </w:r>
            <w:r>
              <w:rPr>
                <w:sz w:val="36"/>
              </w:rPr>
              <w:t>个</w:t>
            </w:r>
          </w:p>
        </w:tc>
        <w:tc>
          <w:tcPr>
            <w:tcW w:w="1570" w:type="dxa"/>
          </w:tcPr>
          <w:p>
            <w:pPr>
              <w:pStyle w:val="TableParagraph"/>
              <w:spacing w:before="193"/>
              <w:ind w:left="31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2.2kw</w:t>
            </w:r>
          </w:p>
        </w:tc>
        <w:tc>
          <w:tcPr>
            <w:tcW w:w="1015" w:type="dxa"/>
          </w:tcPr>
          <w:p>
            <w:pPr>
              <w:pStyle w:val="TableParagraph"/>
              <w:spacing w:before="110"/>
              <w:ind w:right="33"/>
              <w:jc w:val="right"/>
              <w:rPr>
                <w:sz w:val="36"/>
              </w:rPr>
            </w:pPr>
            <w:r>
              <w:rPr>
                <w:sz w:val="36"/>
              </w:rPr>
              <w:t>良好</w:t>
            </w:r>
          </w:p>
        </w:tc>
      </w:tr>
      <w:tr>
        <w:trPr>
          <w:trHeight w:val="810" w:hRule="exact"/>
        </w:trPr>
        <w:tc>
          <w:tcPr>
            <w:tcW w:w="865" w:type="dxa"/>
          </w:tcPr>
          <w:p>
            <w:pPr>
              <w:pStyle w:val="TableParagraph"/>
              <w:spacing w:before="203"/>
              <w:ind w:left="1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7</w:t>
            </w:r>
          </w:p>
        </w:tc>
        <w:tc>
          <w:tcPr>
            <w:tcW w:w="2590" w:type="dxa"/>
          </w:tcPr>
          <w:p>
            <w:pPr>
              <w:pStyle w:val="TableParagraph"/>
              <w:spacing w:before="80"/>
              <w:ind w:left="69"/>
              <w:jc w:val="center"/>
              <w:rPr>
                <w:sz w:val="36"/>
              </w:rPr>
            </w:pPr>
            <w:r>
              <w:rPr>
                <w:sz w:val="36"/>
              </w:rPr>
              <w:t>灰浆</w:t>
            </w:r>
            <w:r>
              <w:rPr>
                <w:spacing w:val="-300"/>
                <w:sz w:val="36"/>
              </w:rPr>
              <w:t>拌</w:t>
            </w:r>
            <w:r>
              <w:rPr>
                <w:spacing w:val="-60"/>
                <w:position w:val="4"/>
                <w:sz w:val="36"/>
              </w:rPr>
              <w:t>器</w:t>
            </w:r>
            <w:r>
              <w:rPr>
                <w:sz w:val="36"/>
              </w:rPr>
              <w:t>合器</w:t>
            </w:r>
          </w:p>
        </w:tc>
        <w:tc>
          <w:tcPr>
            <w:tcW w:w="2491" w:type="dxa"/>
          </w:tcPr>
          <w:p>
            <w:pPr>
              <w:pStyle w:val="TableParagraph"/>
              <w:spacing w:before="203"/>
              <w:ind w:left="821" w:right="829"/>
              <w:jc w:val="center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200L</w:t>
            </w:r>
          </w:p>
        </w:tc>
        <w:tc>
          <w:tcPr>
            <w:tcW w:w="1219" w:type="dxa"/>
          </w:tcPr>
          <w:p>
            <w:pPr>
              <w:pStyle w:val="TableParagraph"/>
              <w:spacing w:before="120"/>
              <w:ind w:left="248"/>
              <w:rPr>
                <w:sz w:val="36"/>
              </w:rPr>
            </w:pPr>
            <w:r>
              <w:rPr>
                <w:rFonts w:ascii="Arial" w:eastAsia="Arial"/>
                <w:sz w:val="36"/>
              </w:rPr>
              <w:t>1 </w:t>
            </w:r>
            <w:r>
              <w:rPr>
                <w:sz w:val="36"/>
              </w:rPr>
              <w:t>个</w:t>
            </w:r>
          </w:p>
        </w:tc>
        <w:tc>
          <w:tcPr>
            <w:tcW w:w="1570" w:type="dxa"/>
          </w:tcPr>
          <w:p>
            <w:pPr>
              <w:pStyle w:val="TableParagraph"/>
              <w:spacing w:before="203"/>
              <w:ind w:left="51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3kw</w:t>
            </w:r>
          </w:p>
        </w:tc>
        <w:tc>
          <w:tcPr>
            <w:tcW w:w="1015" w:type="dxa"/>
          </w:tcPr>
          <w:p>
            <w:pPr>
              <w:pStyle w:val="TableParagraph"/>
              <w:spacing w:before="120"/>
              <w:ind w:right="33"/>
              <w:jc w:val="right"/>
              <w:rPr>
                <w:sz w:val="36"/>
              </w:rPr>
            </w:pPr>
            <w:r>
              <w:rPr>
                <w:sz w:val="36"/>
              </w:rPr>
              <w:t>良好</w:t>
            </w:r>
          </w:p>
        </w:tc>
      </w:tr>
      <w:tr>
        <w:trPr>
          <w:trHeight w:val="790" w:hRule="exact"/>
        </w:trPr>
        <w:tc>
          <w:tcPr>
            <w:tcW w:w="865" w:type="dxa"/>
          </w:tcPr>
          <w:p>
            <w:pPr>
              <w:pStyle w:val="TableParagraph"/>
              <w:spacing w:before="173"/>
              <w:ind w:left="1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8</w:t>
            </w:r>
          </w:p>
        </w:tc>
        <w:tc>
          <w:tcPr>
            <w:tcW w:w="2590" w:type="dxa"/>
          </w:tcPr>
          <w:p>
            <w:pPr>
              <w:pStyle w:val="TableParagraph"/>
              <w:ind w:left="69"/>
              <w:jc w:val="center"/>
              <w:rPr>
                <w:sz w:val="36"/>
              </w:rPr>
            </w:pPr>
            <w:r>
              <w:rPr>
                <w:sz w:val="36"/>
              </w:rPr>
              <w:t>木工圆盘锯</w:t>
            </w:r>
          </w:p>
        </w:tc>
        <w:tc>
          <w:tcPr>
            <w:tcW w:w="2491" w:type="dxa"/>
          </w:tcPr>
          <w:p>
            <w:pPr>
              <w:pStyle w:val="TableParagraph"/>
              <w:ind w:left="740"/>
              <w:rPr>
                <w:rFonts w:ascii="Arial" w:hAnsi="Arial"/>
                <w:sz w:val="36"/>
              </w:rPr>
            </w:pPr>
            <w:r>
              <w:rPr>
                <w:sz w:val="36"/>
              </w:rPr>
              <w:t>φ</w:t>
            </w:r>
            <w:r>
              <w:rPr>
                <w:rFonts w:ascii="Arial" w:hAnsi="Arial"/>
                <w:sz w:val="36"/>
              </w:rPr>
              <w:t>400</w:t>
            </w:r>
          </w:p>
        </w:tc>
        <w:tc>
          <w:tcPr>
            <w:tcW w:w="1219" w:type="dxa"/>
          </w:tcPr>
          <w:p>
            <w:pPr>
              <w:pStyle w:val="TableParagraph"/>
              <w:ind w:left="248"/>
              <w:rPr>
                <w:sz w:val="36"/>
              </w:rPr>
            </w:pPr>
            <w:r>
              <w:rPr>
                <w:rFonts w:ascii="Arial" w:eastAsia="Arial"/>
                <w:sz w:val="36"/>
              </w:rPr>
              <w:t>1 </w:t>
            </w:r>
            <w:r>
              <w:rPr>
                <w:sz w:val="36"/>
              </w:rPr>
              <w:t>台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3"/>
              <w:ind w:left="51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3kw</w:t>
            </w:r>
          </w:p>
        </w:tc>
        <w:tc>
          <w:tcPr>
            <w:tcW w:w="1015" w:type="dxa"/>
          </w:tcPr>
          <w:p>
            <w:pPr>
              <w:pStyle w:val="TableParagraph"/>
              <w:ind w:right="33"/>
              <w:jc w:val="right"/>
              <w:rPr>
                <w:sz w:val="36"/>
              </w:rPr>
            </w:pPr>
            <w:r>
              <w:rPr>
                <w:sz w:val="36"/>
              </w:rPr>
              <w:t>良好</w:t>
            </w:r>
          </w:p>
        </w:tc>
      </w:tr>
      <w:tr>
        <w:trPr>
          <w:trHeight w:val="800" w:hRule="exact"/>
        </w:trPr>
        <w:tc>
          <w:tcPr>
            <w:tcW w:w="865" w:type="dxa"/>
          </w:tcPr>
          <w:p>
            <w:pPr>
              <w:pStyle w:val="TableParagraph"/>
              <w:spacing w:before="183"/>
              <w:ind w:left="1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9</w:t>
            </w:r>
          </w:p>
        </w:tc>
        <w:tc>
          <w:tcPr>
            <w:tcW w:w="2590" w:type="dxa"/>
          </w:tcPr>
          <w:p>
            <w:pPr>
              <w:pStyle w:val="TableParagraph"/>
              <w:spacing w:before="100"/>
              <w:ind w:left="109"/>
              <w:jc w:val="center"/>
              <w:rPr>
                <w:sz w:val="36"/>
              </w:rPr>
            </w:pPr>
            <w:r>
              <w:rPr>
                <w:sz w:val="36"/>
              </w:rPr>
              <w:t>木工平刨</w:t>
            </w:r>
          </w:p>
        </w:tc>
        <w:tc>
          <w:tcPr>
            <w:tcW w:w="2491" w:type="dxa"/>
          </w:tcPr>
          <w:p>
            <w:pPr>
              <w:pStyle w:val="TableParagraph"/>
              <w:spacing w:before="183"/>
              <w:ind w:left="84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MB50</w:t>
            </w:r>
          </w:p>
        </w:tc>
        <w:tc>
          <w:tcPr>
            <w:tcW w:w="1219" w:type="dxa"/>
          </w:tcPr>
          <w:p>
            <w:pPr>
              <w:pStyle w:val="TableParagraph"/>
              <w:spacing w:before="100"/>
              <w:ind w:left="248"/>
              <w:rPr>
                <w:sz w:val="36"/>
              </w:rPr>
            </w:pPr>
            <w:r>
              <w:rPr>
                <w:rFonts w:ascii="Arial" w:eastAsia="Arial"/>
                <w:sz w:val="36"/>
              </w:rPr>
              <w:t>1 </w:t>
            </w:r>
            <w:r>
              <w:rPr>
                <w:sz w:val="36"/>
              </w:rPr>
              <w:t>台</w:t>
            </w:r>
          </w:p>
        </w:tc>
        <w:tc>
          <w:tcPr>
            <w:tcW w:w="1570" w:type="dxa"/>
          </w:tcPr>
          <w:p>
            <w:pPr>
              <w:pStyle w:val="TableParagraph"/>
              <w:spacing w:before="183"/>
              <w:ind w:left="51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3kw</w:t>
            </w:r>
          </w:p>
        </w:tc>
        <w:tc>
          <w:tcPr>
            <w:tcW w:w="1015" w:type="dxa"/>
          </w:tcPr>
          <w:p>
            <w:pPr>
              <w:pStyle w:val="TableParagraph"/>
              <w:spacing w:before="100"/>
              <w:ind w:right="33"/>
              <w:jc w:val="right"/>
              <w:rPr>
                <w:sz w:val="36"/>
              </w:rPr>
            </w:pPr>
            <w:r>
              <w:rPr>
                <w:sz w:val="36"/>
              </w:rPr>
              <w:t>良好</w:t>
            </w:r>
          </w:p>
        </w:tc>
      </w:tr>
      <w:tr>
        <w:trPr>
          <w:trHeight w:val="790" w:hRule="exact"/>
        </w:trPr>
        <w:tc>
          <w:tcPr>
            <w:tcW w:w="865" w:type="dxa"/>
          </w:tcPr>
          <w:p>
            <w:pPr>
              <w:pStyle w:val="TableParagraph"/>
              <w:spacing w:before="183"/>
              <w:ind w:left="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10</w:t>
            </w:r>
          </w:p>
        </w:tc>
        <w:tc>
          <w:tcPr>
            <w:tcW w:w="2590" w:type="dxa"/>
          </w:tcPr>
          <w:p>
            <w:pPr>
              <w:pStyle w:val="TableParagraph"/>
              <w:spacing w:before="100"/>
              <w:ind w:left="149"/>
              <w:jc w:val="center"/>
              <w:rPr>
                <w:sz w:val="36"/>
              </w:rPr>
            </w:pPr>
            <w:r>
              <w:rPr>
                <w:sz w:val="36"/>
              </w:rPr>
              <w:t>手电钻</w:t>
            </w:r>
          </w:p>
        </w:tc>
        <w:tc>
          <w:tcPr>
            <w:tcW w:w="2491" w:type="dxa"/>
          </w:tcPr>
          <w:p>
            <w:pPr/>
          </w:p>
        </w:tc>
        <w:tc>
          <w:tcPr>
            <w:tcW w:w="1219" w:type="dxa"/>
          </w:tcPr>
          <w:p>
            <w:pPr>
              <w:pStyle w:val="TableParagraph"/>
              <w:spacing w:before="100"/>
              <w:ind w:left="248"/>
              <w:rPr>
                <w:sz w:val="36"/>
              </w:rPr>
            </w:pPr>
            <w:r>
              <w:rPr>
                <w:rFonts w:ascii="Arial" w:eastAsia="Arial"/>
                <w:sz w:val="36"/>
              </w:rPr>
              <w:t>1 </w:t>
            </w:r>
            <w:r>
              <w:rPr>
                <w:sz w:val="36"/>
              </w:rPr>
              <w:t>台</w:t>
            </w:r>
          </w:p>
        </w:tc>
        <w:tc>
          <w:tcPr>
            <w:tcW w:w="1570" w:type="dxa"/>
          </w:tcPr>
          <w:p>
            <w:pPr>
              <w:pStyle w:val="TableParagraph"/>
              <w:spacing w:before="183"/>
              <w:ind w:left="51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1kw</w:t>
            </w:r>
          </w:p>
        </w:tc>
        <w:tc>
          <w:tcPr>
            <w:tcW w:w="1015" w:type="dxa"/>
          </w:tcPr>
          <w:p>
            <w:pPr>
              <w:pStyle w:val="TableParagraph"/>
              <w:spacing w:before="100"/>
              <w:ind w:right="33"/>
              <w:jc w:val="right"/>
              <w:rPr>
                <w:sz w:val="36"/>
              </w:rPr>
            </w:pPr>
            <w:r>
              <w:rPr>
                <w:sz w:val="36"/>
              </w:rPr>
              <w:t>良好</w:t>
            </w:r>
          </w:p>
        </w:tc>
      </w:tr>
      <w:tr>
        <w:trPr>
          <w:trHeight w:val="780" w:hRule="exact"/>
        </w:trPr>
        <w:tc>
          <w:tcPr>
            <w:tcW w:w="865" w:type="dxa"/>
          </w:tcPr>
          <w:p>
            <w:pPr>
              <w:pStyle w:val="TableParagraph"/>
              <w:spacing w:before="173"/>
              <w:ind w:left="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11</w:t>
            </w:r>
          </w:p>
        </w:tc>
        <w:tc>
          <w:tcPr>
            <w:tcW w:w="2590" w:type="dxa"/>
          </w:tcPr>
          <w:p>
            <w:pPr>
              <w:pStyle w:val="TableParagraph"/>
              <w:ind w:left="109"/>
              <w:jc w:val="center"/>
              <w:rPr>
                <w:sz w:val="36"/>
              </w:rPr>
            </w:pPr>
            <w:r>
              <w:rPr>
                <w:sz w:val="36"/>
              </w:rPr>
              <w:t>冲击电钻</w:t>
            </w:r>
          </w:p>
        </w:tc>
        <w:tc>
          <w:tcPr>
            <w:tcW w:w="2491" w:type="dxa"/>
          </w:tcPr>
          <w:p>
            <w:pPr>
              <w:pStyle w:val="TableParagraph"/>
              <w:ind w:left="539"/>
              <w:rPr>
                <w:rFonts w:ascii="Arial" w:hAnsi="Arial"/>
                <w:sz w:val="36"/>
              </w:rPr>
            </w:pPr>
            <w:r>
              <w:rPr>
                <w:sz w:val="36"/>
              </w:rPr>
              <w:t>φ</w:t>
            </w:r>
            <w:r>
              <w:rPr>
                <w:spacing w:val="-145"/>
                <w:sz w:val="36"/>
              </w:rPr>
              <w:t> </w:t>
            </w:r>
            <w:r>
              <w:rPr>
                <w:rFonts w:ascii="Arial" w:hAnsi="Arial"/>
                <w:sz w:val="36"/>
              </w:rPr>
              <w:t>20-40</w:t>
            </w:r>
          </w:p>
        </w:tc>
        <w:tc>
          <w:tcPr>
            <w:tcW w:w="1219" w:type="dxa"/>
          </w:tcPr>
          <w:p>
            <w:pPr>
              <w:pStyle w:val="TableParagraph"/>
              <w:ind w:left="248"/>
              <w:rPr>
                <w:sz w:val="36"/>
              </w:rPr>
            </w:pPr>
            <w:r>
              <w:rPr>
                <w:rFonts w:ascii="Arial" w:eastAsia="Arial"/>
                <w:sz w:val="36"/>
              </w:rPr>
              <w:t>1 </w:t>
            </w:r>
            <w:r>
              <w:rPr>
                <w:sz w:val="36"/>
              </w:rPr>
              <w:t>台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3"/>
              <w:ind w:left="51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2kw</w:t>
            </w:r>
          </w:p>
        </w:tc>
        <w:tc>
          <w:tcPr>
            <w:tcW w:w="1015" w:type="dxa"/>
          </w:tcPr>
          <w:p>
            <w:pPr>
              <w:pStyle w:val="TableParagraph"/>
              <w:ind w:right="33"/>
              <w:jc w:val="right"/>
              <w:rPr>
                <w:sz w:val="36"/>
              </w:rPr>
            </w:pPr>
            <w:r>
              <w:rPr>
                <w:sz w:val="36"/>
              </w:rPr>
              <w:t>良好</w:t>
            </w:r>
          </w:p>
        </w:tc>
      </w:tr>
      <w:tr>
        <w:trPr>
          <w:trHeight w:val="790" w:hRule="exact"/>
        </w:trPr>
        <w:tc>
          <w:tcPr>
            <w:tcW w:w="865" w:type="dxa"/>
          </w:tcPr>
          <w:p>
            <w:pPr>
              <w:pStyle w:val="TableParagraph"/>
              <w:spacing w:before="173"/>
              <w:ind w:left="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12</w:t>
            </w:r>
          </w:p>
        </w:tc>
        <w:tc>
          <w:tcPr>
            <w:tcW w:w="2590" w:type="dxa"/>
          </w:tcPr>
          <w:p>
            <w:pPr>
              <w:pStyle w:val="TableParagraph"/>
              <w:ind w:left="109"/>
              <w:jc w:val="center"/>
              <w:rPr>
                <w:sz w:val="36"/>
              </w:rPr>
            </w:pPr>
            <w:r>
              <w:rPr>
                <w:sz w:val="36"/>
              </w:rPr>
              <w:t>砼磨光机</w:t>
            </w:r>
          </w:p>
        </w:tc>
        <w:tc>
          <w:tcPr>
            <w:tcW w:w="2491" w:type="dxa"/>
          </w:tcPr>
          <w:p>
            <w:pPr/>
          </w:p>
        </w:tc>
        <w:tc>
          <w:tcPr>
            <w:tcW w:w="1219" w:type="dxa"/>
          </w:tcPr>
          <w:p>
            <w:pPr>
              <w:pStyle w:val="TableParagraph"/>
              <w:ind w:left="248"/>
              <w:rPr>
                <w:sz w:val="36"/>
              </w:rPr>
            </w:pPr>
            <w:r>
              <w:rPr>
                <w:rFonts w:ascii="Arial" w:eastAsia="Arial"/>
                <w:sz w:val="36"/>
              </w:rPr>
              <w:t>1 </w:t>
            </w:r>
            <w:r>
              <w:rPr>
                <w:sz w:val="36"/>
              </w:rPr>
              <w:t>台</w:t>
            </w:r>
          </w:p>
        </w:tc>
        <w:tc>
          <w:tcPr>
            <w:tcW w:w="1570" w:type="dxa"/>
          </w:tcPr>
          <w:p>
            <w:pPr>
              <w:pStyle w:val="TableParagraph"/>
              <w:spacing w:before="173"/>
              <w:ind w:left="51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1kw</w:t>
            </w:r>
          </w:p>
        </w:tc>
        <w:tc>
          <w:tcPr>
            <w:tcW w:w="1015" w:type="dxa"/>
          </w:tcPr>
          <w:p>
            <w:pPr>
              <w:pStyle w:val="TableParagraph"/>
              <w:ind w:right="33"/>
              <w:jc w:val="right"/>
              <w:rPr>
                <w:sz w:val="36"/>
              </w:rPr>
            </w:pPr>
            <w:r>
              <w:rPr>
                <w:sz w:val="36"/>
              </w:rPr>
              <w:t>良好</w:t>
            </w:r>
          </w:p>
        </w:tc>
      </w:tr>
      <w:tr>
        <w:trPr>
          <w:trHeight w:val="689" w:hRule="exact"/>
        </w:trPr>
        <w:tc>
          <w:tcPr>
            <w:tcW w:w="865" w:type="dxa"/>
          </w:tcPr>
          <w:p>
            <w:pPr>
              <w:pStyle w:val="TableParagraph"/>
              <w:spacing w:before="183"/>
              <w:ind w:left="35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13</w:t>
            </w:r>
          </w:p>
        </w:tc>
        <w:tc>
          <w:tcPr>
            <w:tcW w:w="2590" w:type="dxa"/>
          </w:tcPr>
          <w:p>
            <w:pPr>
              <w:pStyle w:val="TableParagraph"/>
              <w:spacing w:before="100"/>
              <w:ind w:left="109"/>
              <w:jc w:val="center"/>
              <w:rPr>
                <w:sz w:val="36"/>
              </w:rPr>
            </w:pPr>
            <w:r>
              <w:rPr>
                <w:sz w:val="36"/>
              </w:rPr>
              <w:t>直流焊机</w:t>
            </w:r>
          </w:p>
        </w:tc>
        <w:tc>
          <w:tcPr>
            <w:tcW w:w="2491" w:type="dxa"/>
          </w:tcPr>
          <w:p>
            <w:pPr>
              <w:pStyle w:val="TableParagraph"/>
              <w:spacing w:before="183"/>
              <w:ind w:left="46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AX-500-7</w:t>
            </w:r>
          </w:p>
        </w:tc>
        <w:tc>
          <w:tcPr>
            <w:tcW w:w="1219" w:type="dxa"/>
          </w:tcPr>
          <w:p>
            <w:pPr>
              <w:pStyle w:val="TableParagraph"/>
              <w:spacing w:before="100"/>
              <w:ind w:left="248"/>
              <w:rPr>
                <w:sz w:val="36"/>
              </w:rPr>
            </w:pPr>
            <w:r>
              <w:rPr>
                <w:rFonts w:ascii="Arial" w:eastAsia="Arial"/>
                <w:sz w:val="36"/>
              </w:rPr>
              <w:t>1 </w:t>
            </w:r>
            <w:r>
              <w:rPr>
                <w:sz w:val="36"/>
              </w:rPr>
              <w:t>台</w:t>
            </w:r>
          </w:p>
        </w:tc>
        <w:tc>
          <w:tcPr>
            <w:tcW w:w="1570" w:type="dxa"/>
          </w:tcPr>
          <w:p>
            <w:pPr>
              <w:pStyle w:val="TableParagraph"/>
              <w:spacing w:before="183"/>
              <w:ind w:left="510"/>
              <w:rPr>
                <w:rFonts w:ascii="Arial"/>
                <w:sz w:val="36"/>
              </w:rPr>
            </w:pPr>
            <w:r>
              <w:rPr>
                <w:rFonts w:ascii="Arial"/>
                <w:sz w:val="36"/>
              </w:rPr>
              <w:t>4kw</w:t>
            </w:r>
          </w:p>
        </w:tc>
        <w:tc>
          <w:tcPr>
            <w:tcW w:w="1015" w:type="dxa"/>
          </w:tcPr>
          <w:p>
            <w:pPr>
              <w:pStyle w:val="TableParagraph"/>
              <w:spacing w:before="100"/>
              <w:ind w:right="33"/>
              <w:jc w:val="right"/>
              <w:rPr>
                <w:sz w:val="36"/>
              </w:rPr>
            </w:pPr>
            <w:r>
              <w:rPr>
                <w:sz w:val="36"/>
              </w:rPr>
              <w:t>良好</w:t>
            </w:r>
          </w:p>
        </w:tc>
      </w:tr>
    </w:tbl>
    <w:p>
      <w:pPr>
        <w:pStyle w:val="BodyText"/>
        <w:spacing w:before="7"/>
        <w:rPr>
          <w:sz w:val="18"/>
        </w:rPr>
      </w:pPr>
    </w:p>
    <w:p>
      <w:pPr>
        <w:pStyle w:val="BodyText"/>
        <w:spacing w:line="486" w:lineRule="exact"/>
        <w:ind w:left="100"/>
      </w:pPr>
      <w:r>
        <w:rPr>
          <w:rFonts w:ascii="Arial" w:eastAsia="Arial"/>
        </w:rPr>
        <w:t>4.3 </w:t>
      </w:r>
      <w:r>
        <w:rPr/>
        <w:t>、技术准备</w:t>
      </w:r>
    </w:p>
    <w:p>
      <w:pPr>
        <w:pStyle w:val="BodyText"/>
        <w:spacing w:before="243"/>
        <w:ind w:left="100"/>
      </w:pPr>
      <w:r>
        <w:rPr/>
        <w:t>（</w:t>
      </w:r>
      <w:r>
        <w:rPr>
          <w:spacing w:val="-137"/>
        </w:rPr>
        <w:t> </w:t>
      </w:r>
      <w:r>
        <w:rPr>
          <w:rFonts w:ascii="Arial" w:eastAsia="Arial"/>
          <w:spacing w:val="-3"/>
        </w:rPr>
        <w:t>1</w:t>
      </w:r>
      <w:r>
        <w:rPr>
          <w:spacing w:val="-3"/>
        </w:rPr>
        <w:t>）样板施工图纸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before="208"/>
        <w:ind w:left="6021" w:right="5992" w:firstLine="0"/>
        <w:jc w:val="center"/>
        <w:rPr>
          <w:rFonts w:ascii="Arial"/>
          <w:b/>
          <w:sz w:val="26"/>
        </w:rPr>
      </w:pPr>
      <w:r>
        <w:rPr>
          <w:rFonts w:ascii="Arial"/>
          <w:b/>
          <w:sz w:val="26"/>
        </w:rPr>
        <w:t>5 </w:t>
      </w:r>
      <w:r>
        <w:rPr>
          <w:rFonts w:ascii="Arial"/>
          <w:sz w:val="26"/>
        </w:rPr>
        <w:t>/ </w:t>
      </w:r>
      <w:r>
        <w:rPr>
          <w:rFonts w:ascii="Arial"/>
          <w:b/>
          <w:sz w:val="26"/>
        </w:rPr>
        <w:t>12</w:t>
      </w:r>
    </w:p>
    <w:p>
      <w:pPr>
        <w:spacing w:after="0"/>
        <w:jc w:val="center"/>
        <w:rPr>
          <w:rFonts w:ascii="Arial"/>
          <w:sz w:val="26"/>
        </w:rPr>
        <w:sectPr>
          <w:type w:val="continuous"/>
          <w:pgSz w:w="19120" w:h="27080"/>
          <w:pgMar w:top="1940" w:bottom="280" w:left="2160" w:right="2040"/>
        </w:sectPr>
      </w:pPr>
    </w:p>
    <w:p>
      <w:pPr>
        <w:tabs>
          <w:tab w:pos="9779" w:val="left" w:leader="none"/>
        </w:tabs>
        <w:spacing w:line="352" w:lineRule="exact" w:before="0"/>
        <w:ind w:left="920" w:right="0" w:firstLine="0"/>
        <w:jc w:val="left"/>
        <w:rPr>
          <w:rFonts w:ascii="PMingLiU" w:eastAsia="PMingLiU" w:hint="eastAsia"/>
          <w:sz w:val="26"/>
        </w:rPr>
      </w:pPr>
      <w:r>
        <w:rPr/>
        <w:drawing>
          <wp:anchor distT="0" distB="0" distL="0" distR="0" allowOverlap="1" layoutInCell="1" locked="0" behindDoc="1" simplePos="0" relativeHeight="268411415">
            <wp:simplePos x="0" y="0"/>
            <wp:positionH relativeFrom="page">
              <wp:posOffset>0</wp:posOffset>
            </wp:positionH>
            <wp:positionV relativeFrom="page">
              <wp:posOffset>45084</wp:posOffset>
            </wp:positionV>
            <wp:extent cx="12109335" cy="17150715"/>
            <wp:effectExtent l="0" t="0" r="0" b="0"/>
            <wp:wrapNone/>
            <wp:docPr id="11" name="image5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9335" cy="1715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</w:rPr>
        <w:t>广东腾越建筑工程有限公司</w:t>
        <w:tab/>
      </w:r>
      <w:r>
        <w:rPr>
          <w:rFonts w:ascii="PMingLiU" w:eastAsia="PMingLiU" w:hint="eastAsia"/>
          <w:sz w:val="26"/>
        </w:rPr>
        <w:t>容县碧桂园一期住宅工法样板施工方案</w:t>
      </w: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rPr>
          <w:rFonts w:ascii="PMingLiU"/>
          <w:sz w:val="28"/>
        </w:rPr>
      </w:pPr>
    </w:p>
    <w:p>
      <w:pPr>
        <w:pStyle w:val="BodyText"/>
        <w:spacing w:before="4"/>
        <w:rPr>
          <w:rFonts w:ascii="PMingLiU"/>
          <w:sz w:val="19"/>
        </w:rPr>
      </w:pPr>
    </w:p>
    <w:p>
      <w:pPr>
        <w:spacing w:before="1"/>
        <w:ind w:left="6530" w:right="7098" w:firstLine="0"/>
        <w:jc w:val="center"/>
        <w:rPr>
          <w:rFonts w:ascii="Arial"/>
          <w:b/>
          <w:sz w:val="26"/>
        </w:rPr>
      </w:pPr>
      <w:r>
        <w:rPr>
          <w:rFonts w:ascii="Arial"/>
          <w:b/>
          <w:sz w:val="26"/>
        </w:rPr>
        <w:t>6 </w:t>
      </w:r>
      <w:r>
        <w:rPr>
          <w:rFonts w:ascii="Arial"/>
          <w:sz w:val="26"/>
        </w:rPr>
        <w:t>/ </w:t>
      </w:r>
      <w:r>
        <w:rPr>
          <w:rFonts w:ascii="Arial"/>
          <w:b/>
          <w:sz w:val="26"/>
        </w:rPr>
        <w:t>12</w:t>
      </w:r>
    </w:p>
    <w:p>
      <w:pPr>
        <w:spacing w:after="0"/>
        <w:jc w:val="center"/>
        <w:rPr>
          <w:rFonts w:ascii="Arial"/>
          <w:sz w:val="26"/>
        </w:rPr>
        <w:sectPr>
          <w:pgSz w:w="19120" w:h="27080"/>
          <w:pgMar w:top="1940" w:bottom="280" w:left="2760" w:right="2040"/>
        </w:sectPr>
      </w:pPr>
    </w:p>
    <w:p>
      <w:pPr>
        <w:tabs>
          <w:tab w:pos="10379" w:val="left" w:leader="none"/>
        </w:tabs>
        <w:spacing w:line="352" w:lineRule="exact" w:before="0"/>
        <w:ind w:left="1520" w:right="0" w:firstLine="0"/>
        <w:jc w:val="left"/>
        <w:rPr>
          <w:rFonts w:ascii="PMingLiU" w:eastAsia="PMingLiU" w:hint="eastAsia"/>
          <w:sz w:val="26"/>
        </w:rPr>
      </w:pPr>
      <w:r>
        <w:rPr/>
        <w:drawing>
          <wp:anchor distT="0" distB="0" distL="0" distR="0" allowOverlap="1" layoutInCell="1" locked="0" behindDoc="1" simplePos="0" relativeHeight="268411439">
            <wp:simplePos x="0" y="0"/>
            <wp:positionH relativeFrom="page">
              <wp:posOffset>0</wp:posOffset>
            </wp:positionH>
            <wp:positionV relativeFrom="page">
              <wp:posOffset>45084</wp:posOffset>
            </wp:positionV>
            <wp:extent cx="12109335" cy="17150715"/>
            <wp:effectExtent l="0" t="0" r="0" b="0"/>
            <wp:wrapNone/>
            <wp:docPr id="13" name="image6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9335" cy="1715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</w:rPr>
        <w:t>广东腾越建筑工程有限公司</w:t>
        <w:tab/>
      </w:r>
      <w:r>
        <w:rPr>
          <w:rFonts w:ascii="PMingLiU" w:eastAsia="PMingLiU" w:hint="eastAsia"/>
          <w:sz w:val="26"/>
        </w:rPr>
        <w:t>容县碧桂园一期住宅工法样板施工方案</w:t>
      </w: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spacing w:line="357" w:lineRule="auto" w:before="139"/>
        <w:ind w:left="680" w:right="1260" w:hanging="580"/>
      </w:pPr>
      <w:r>
        <w:rPr/>
        <w:t>（ </w:t>
      </w:r>
      <w:r>
        <w:rPr>
          <w:rFonts w:ascii="Arial" w:eastAsia="Arial"/>
        </w:rPr>
        <w:t>2</w:t>
      </w:r>
      <w:r>
        <w:rPr/>
        <w:t>）技术交底 项目部组织现场施工管理人员，劳务各个班组长对工序样板进行参观学习。由项目</w:t>
      </w:r>
    </w:p>
    <w:p>
      <w:pPr>
        <w:pStyle w:val="BodyText"/>
        <w:tabs>
          <w:tab w:pos="8119" w:val="left" w:leader="none"/>
          <w:tab w:pos="11799" w:val="left" w:leader="none"/>
        </w:tabs>
        <w:spacing w:line="384" w:lineRule="auto" w:before="112"/>
        <w:ind w:left="100" w:right="238"/>
      </w:pPr>
      <w:r>
        <w:rPr/>
        <w:t>技术总工对现场管理人员进行技术交底并讲解，</w:t>
        <w:tab/>
        <w:t>要求劳务管理人员严格按照工序样板指 引现场施工，参观技术交底每月组织一次，每周由项目班子成员对施工现场进行检查， 是否按照工序样板工序进行，</w:t>
      </w:r>
      <w:r>
        <w:rPr>
          <w:spacing w:val="40"/>
        </w:rPr>
        <w:t> </w:t>
      </w:r>
      <w:r>
        <w:rPr/>
        <w:t>如果发现施工现场与工序样板间不符合，</w:t>
        <w:tab/>
        <w:t>要求强制拆除外， 并进行严厉的处罚。</w:t>
      </w:r>
    </w:p>
    <w:p>
      <w:pPr>
        <w:pStyle w:val="BodyText"/>
        <w:spacing w:line="386" w:lineRule="auto" w:before="53"/>
        <w:ind w:left="100" w:right="1260" w:firstLine="580"/>
      </w:pPr>
      <w:r>
        <w:rPr/>
        <w:t>劳务管理人员必须对进场的工人、班组长认真贯彻学习工序样板指引，从严要求， 并对新进行的工人工序样板技术交底后才能进场施工。</w:t>
      </w:r>
    </w:p>
    <w:p>
      <w:pPr>
        <w:spacing w:before="26"/>
        <w:ind w:left="6021" w:right="5992" w:firstLine="0"/>
        <w:jc w:val="center"/>
        <w:rPr>
          <w:rFonts w:ascii="Arial"/>
          <w:b/>
          <w:sz w:val="26"/>
        </w:rPr>
      </w:pPr>
      <w:r>
        <w:rPr>
          <w:rFonts w:ascii="Arial"/>
          <w:b/>
          <w:sz w:val="26"/>
        </w:rPr>
        <w:t>7 </w:t>
      </w:r>
      <w:r>
        <w:rPr>
          <w:rFonts w:ascii="Arial"/>
          <w:sz w:val="26"/>
        </w:rPr>
        <w:t>/ </w:t>
      </w:r>
      <w:r>
        <w:rPr>
          <w:rFonts w:ascii="Arial"/>
          <w:b/>
          <w:sz w:val="26"/>
        </w:rPr>
        <w:t>12</w:t>
      </w:r>
    </w:p>
    <w:p>
      <w:pPr>
        <w:spacing w:after="0"/>
        <w:jc w:val="center"/>
        <w:rPr>
          <w:rFonts w:ascii="Arial"/>
          <w:sz w:val="26"/>
        </w:rPr>
        <w:sectPr>
          <w:pgSz w:w="19120" w:h="27080"/>
          <w:pgMar w:top="1940" w:bottom="280" w:left="2160" w:right="2040"/>
        </w:sectPr>
      </w:pPr>
    </w:p>
    <w:p>
      <w:pPr>
        <w:tabs>
          <w:tab w:pos="10379" w:val="left" w:leader="none"/>
        </w:tabs>
        <w:spacing w:line="352" w:lineRule="exact" w:before="0"/>
        <w:ind w:left="1520" w:right="0" w:firstLine="0"/>
        <w:jc w:val="left"/>
        <w:rPr>
          <w:rFonts w:ascii="PMingLiU" w:eastAsia="PMingLiU" w:hint="eastAsia"/>
          <w:sz w:val="26"/>
        </w:rPr>
      </w:pPr>
      <w:r>
        <w:rPr>
          <w:sz w:val="26"/>
        </w:rPr>
        <w:t>广东腾越建筑工程有限公司</w:t>
        <w:tab/>
      </w:r>
      <w:r>
        <w:rPr>
          <w:rFonts w:ascii="PMingLiU" w:eastAsia="PMingLiU" w:hint="eastAsia"/>
          <w:sz w:val="26"/>
        </w:rPr>
        <w:t>容县碧桂园一期住宅工法样板施工方案</w:t>
      </w:r>
    </w:p>
    <w:p>
      <w:pPr>
        <w:pStyle w:val="BodyText"/>
        <w:spacing w:line="376" w:lineRule="auto" w:before="47"/>
        <w:ind w:left="100" w:right="1260" w:firstLine="580"/>
      </w:pPr>
      <w:r>
        <w:rPr/>
        <w:t>班组长应带工人参观工序样板间技能培训学习，明确工人是否能满足验收要求，如 发现工人不能胜任工作，必须做清退处理。</w:t>
      </w:r>
    </w:p>
    <w:p>
      <w:pPr>
        <w:pStyle w:val="Heading1"/>
        <w:spacing w:before="73"/>
      </w:pPr>
      <w:bookmarkStart w:name="_TOC_250000" w:id="4"/>
      <w:r>
        <w:rPr>
          <w:rFonts w:ascii="Arial" w:eastAsia="Arial"/>
        </w:rPr>
        <w:t>5</w:t>
      </w:r>
      <w:bookmarkEnd w:id="4"/>
      <w:r>
        <w:rPr/>
        <w:t>、工作流程</w:t>
      </w:r>
    </w:p>
    <w:p>
      <w:pPr>
        <w:pStyle w:val="BodyText"/>
        <w:spacing w:line="357" w:lineRule="auto" w:before="310"/>
        <w:ind w:left="680" w:right="1260"/>
      </w:pPr>
      <w:r>
        <w:rPr>
          <w:rFonts w:ascii="Arial" w:eastAsia="Arial"/>
        </w:rPr>
        <w:t>1</w:t>
      </w:r>
      <w:r>
        <w:rPr/>
        <w:t>、方案确定 工法样板主要分为四个板块，主体样板，砌筑抹灰样板，屋面样板及卫生间沉箱样</w:t>
      </w:r>
    </w:p>
    <w:p>
      <w:pPr>
        <w:pStyle w:val="BodyText"/>
        <w:spacing w:line="376" w:lineRule="auto" w:before="112"/>
        <w:ind w:left="100" w:right="1120"/>
      </w:pPr>
      <w:r>
        <w:rPr/>
        <w:t>板，装修样板。四大板块中穿插各种小工序如电气样板、门洞样板等，尽量合理利用空 间，符合施工现场组织要求，从而起到教材版本做用</w:t>
      </w:r>
    </w:p>
    <w:p>
      <w:pPr>
        <w:pStyle w:val="BodyText"/>
        <w:spacing w:before="83"/>
        <w:ind w:left="680"/>
      </w:pPr>
      <w:r>
        <w:rPr>
          <w:rFonts w:ascii="Arial" w:eastAsia="Arial"/>
        </w:rPr>
        <w:t>2</w:t>
      </w:r>
      <w:r>
        <w:rPr/>
        <w:t>、样板施工</w:t>
      </w:r>
    </w:p>
    <w:p>
      <w:pPr>
        <w:pStyle w:val="BodyText"/>
        <w:spacing w:line="464" w:lineRule="exact" w:before="292"/>
        <w:ind w:left="680" w:right="1260"/>
      </w:pPr>
      <w:r>
        <w:rPr/>
        <w:t>（</w:t>
      </w:r>
      <w:r>
        <w:rPr>
          <w:rFonts w:ascii="Arial" w:hAnsi="Arial" w:eastAsia="Arial"/>
        </w:rPr>
        <w:t>1</w:t>
      </w:r>
      <w:r>
        <w:rPr/>
        <w:t>）主体样板 主体样板施工工艺流程：浇捣底座混凝土→绑扎柱钢筋→安装钢管扣件支模体系→</w:t>
      </w:r>
    </w:p>
    <w:p>
      <w:pPr>
        <w:pStyle w:val="BodyText"/>
        <w:spacing w:line="381" w:lineRule="auto" w:before="236"/>
        <w:ind w:left="100" w:right="1046"/>
      </w:pPr>
      <w:r>
        <w:rPr/>
        <w:t>安装柱模板和梁板→绑扎梁、</w:t>
      </w:r>
      <w:r>
        <w:rPr>
          <w:spacing w:val="-106"/>
        </w:rPr>
        <w:t> </w:t>
      </w:r>
      <w:r>
        <w:rPr/>
        <w:t>板底钢筋→预埋过电管→绑扎板面筋→放垫块→安装卫生 间反梁模板→安装侧模板→浇筑混凝土→做平屋面施工层→安装栏杆施工样板。</w:t>
      </w:r>
    </w:p>
    <w:p>
      <w:pPr>
        <w:pStyle w:val="BodyText"/>
        <w:spacing w:line="364" w:lineRule="auto" w:before="66"/>
        <w:ind w:left="100" w:right="1120" w:firstLine="580"/>
        <w:rPr>
          <w:rFonts w:ascii="PMingLiU" w:hAnsi="PMingLiU" w:eastAsia="PMingLiU" w:hint="eastAsia"/>
        </w:rPr>
      </w:pPr>
      <w:r>
        <w:rPr/>
        <w:t>（</w:t>
      </w:r>
      <w:r>
        <w:rPr>
          <w:rFonts w:ascii="Arial" w:hAnsi="Arial" w:eastAsia="Arial"/>
        </w:rPr>
        <w:t>2</w:t>
      </w:r>
      <w:r>
        <w:rPr/>
        <w:t>）砌筑抹灰样板 砌筑抹灰样板施工工艺流程：砌筑页岩实心砖底砖→</w:t>
      </w:r>
      <w:r>
        <w:rPr>
          <w:rFonts w:ascii="PMingLiU" w:hAnsi="PMingLiU" w:eastAsia="PMingLiU" w:hint="eastAsia"/>
        </w:rPr>
        <w:t>安装</w:t>
      </w:r>
      <w:r>
        <w:rPr/>
        <w:t>弱电箱</w:t>
      </w:r>
      <w:r>
        <w:rPr>
          <w:rFonts w:ascii="PMingLiU" w:hAnsi="PMingLiU" w:eastAsia="PMingLiU" w:hint="eastAsia"/>
        </w:rPr>
        <w:t>砼预制</w:t>
      </w:r>
      <w:r>
        <w:rPr/>
        <w:t>→砌筑蒸压加气 砖到窗台位置→混凝土浇捣窗台→加气块继续砌筑至强电箱→</w:t>
      </w:r>
      <w:r>
        <w:rPr>
          <w:rFonts w:ascii="PMingLiU" w:hAnsi="PMingLiU" w:eastAsia="PMingLiU" w:hint="eastAsia"/>
        </w:rPr>
        <w:t>安装强电箱砼预制</w:t>
      </w:r>
      <w:r>
        <w:rPr/>
        <w:t>→浇捣 门过梁</w:t>
      </w:r>
      <w:r>
        <w:rPr>
          <w:rFonts w:ascii="PMingLiU" w:hAnsi="PMingLiU" w:eastAsia="PMingLiU" w:hint="eastAsia"/>
        </w:rPr>
        <w:t>→</w:t>
      </w:r>
    </w:p>
    <w:p>
      <w:pPr>
        <w:pStyle w:val="BodyText"/>
        <w:spacing w:line="427" w:lineRule="exact"/>
        <w:ind w:left="100"/>
      </w:pPr>
      <w:r>
        <w:rPr/>
        <w:t>→砌筑顶砖→内墙打点→内墙挂网→内墙拉毛→内墙抹灰→内墙压网→外墙打点→外</w:t>
      </w:r>
    </w:p>
    <w:p>
      <w:pPr>
        <w:pStyle w:val="BodyText"/>
        <w:spacing w:line="376" w:lineRule="auto" w:before="97"/>
        <w:ind w:left="100" w:right="1480"/>
      </w:pPr>
      <w:r>
        <w:rPr/>
        <w:t>墙挂网→外墙打底砂浆→中间层挂网→外墙面层砂浆→保温层→聚合物防水层→面层 饰面砖</w:t>
      </w:r>
    </w:p>
    <w:p>
      <w:pPr>
        <w:pStyle w:val="BodyText"/>
        <w:spacing w:line="357" w:lineRule="auto" w:before="83"/>
        <w:ind w:left="680" w:right="1260"/>
      </w:pPr>
      <w:r>
        <w:rPr/>
        <w:t>（</w:t>
      </w:r>
      <w:r>
        <w:rPr>
          <w:rFonts w:ascii="Arial" w:hAnsi="Arial" w:eastAsia="Arial"/>
        </w:rPr>
        <w:t>3</w:t>
      </w:r>
      <w:r>
        <w:rPr/>
        <w:t>）屋面样板 屋面样板施工工艺流程：绑扎屋面样板底座钢筋→绑扎柱钢筋→浇捣底座混凝土→</w:t>
      </w:r>
    </w:p>
    <w:p>
      <w:pPr>
        <w:pStyle w:val="BodyText"/>
        <w:spacing w:before="112"/>
        <w:ind w:left="100"/>
      </w:pPr>
      <w:r>
        <w:rPr/>
        <w:t>绑扎柱子钢筋→浇捣混凝土→做砂浆找坡→防水施工→保温挂网施工→面层饰面砖</w:t>
      </w:r>
    </w:p>
    <w:p>
      <w:pPr>
        <w:pStyle w:val="BodyText"/>
        <w:spacing w:line="357" w:lineRule="auto" w:before="132"/>
        <w:ind w:left="680" w:right="1260"/>
      </w:pPr>
      <w:r>
        <w:rPr/>
        <w:t>（</w:t>
      </w:r>
      <w:r>
        <w:rPr>
          <w:rFonts w:ascii="Arial" w:hAnsi="Arial" w:eastAsia="Arial"/>
        </w:rPr>
        <w:t>4</w:t>
      </w:r>
      <w:r>
        <w:rPr/>
        <w:t>）卫生间沉箱样板 沉箱样板施工工艺流程：砂浆找坡→防水施工→保护层施工→沉箱灰砂砖支撑砌筑</w:t>
      </w:r>
    </w:p>
    <w:p>
      <w:pPr>
        <w:pStyle w:val="BodyText"/>
        <w:spacing w:before="112"/>
        <w:ind w:left="100"/>
      </w:pPr>
      <w:r>
        <w:rPr/>
        <w:t>→沉箱盖板施工→沉箱面层砖施工→墙体砌筑→拉结筋样板安装</w:t>
      </w:r>
    </w:p>
    <w:p>
      <w:pPr>
        <w:pStyle w:val="BodyText"/>
        <w:spacing w:before="269"/>
        <w:ind w:left="680"/>
      </w:pPr>
      <w:r>
        <w:rPr>
          <w:rFonts w:ascii="Arial" w:eastAsia="Arial"/>
        </w:rPr>
        <w:t>3</w:t>
      </w:r>
      <w:r>
        <w:rPr/>
        <w:t>、样板验收</w:t>
      </w:r>
    </w:p>
    <w:p>
      <w:pPr>
        <w:pStyle w:val="BodyText"/>
        <w:spacing w:before="283"/>
        <w:ind w:left="680"/>
      </w:pPr>
      <w:r>
        <w:rPr/>
        <w:t>（</w:t>
      </w:r>
      <w:r>
        <w:rPr>
          <w:rFonts w:ascii="Arial" w:eastAsia="Arial"/>
        </w:rPr>
        <w:t>1</w:t>
      </w:r>
      <w:r>
        <w:rPr/>
        <w:t>）内部验收：由项目技术总工组织验收。</w:t>
      </w:r>
    </w:p>
    <w:p>
      <w:pPr>
        <w:pStyle w:val="BodyText"/>
        <w:spacing w:line="372" w:lineRule="auto" w:before="223"/>
        <w:ind w:left="100" w:right="1057" w:firstLine="580"/>
        <w:jc w:val="both"/>
      </w:pPr>
      <w:r>
        <w:rPr/>
        <w:t>（</w:t>
      </w:r>
      <w:r>
        <w:rPr>
          <w:rFonts w:ascii="Arial" w:eastAsia="Arial"/>
        </w:rPr>
        <w:t>2</w:t>
      </w:r>
      <w:r>
        <w:rPr/>
        <w:t>）经理验收：项目工序样板完成后由项目组织建设（监理）单位进行预验收，签 署样板验收记录，预验收合格后由建设单位报区域工程技术部进行验收。验收合格后方 可进行技术交底。</w:t>
      </w:r>
    </w:p>
    <w:p>
      <w:pPr>
        <w:pStyle w:val="BodyText"/>
        <w:spacing w:before="4"/>
        <w:rPr>
          <w:sz w:val="9"/>
        </w:rPr>
      </w:pPr>
    </w:p>
    <w:p>
      <w:pPr>
        <w:spacing w:after="0"/>
        <w:rPr>
          <w:sz w:val="9"/>
        </w:rPr>
        <w:sectPr>
          <w:pgSz w:w="19120" w:h="27080"/>
          <w:pgMar w:top="1940" w:bottom="280" w:left="2160" w:right="2040"/>
        </w:sectPr>
      </w:pPr>
    </w:p>
    <w:p>
      <w:pPr>
        <w:pStyle w:val="BodyText"/>
        <w:spacing w:line="486" w:lineRule="exact"/>
        <w:ind w:left="680" w:right="-20"/>
      </w:pPr>
      <w:r>
        <w:rPr/>
        <w:drawing>
          <wp:anchor distT="0" distB="0" distL="0" distR="0" allowOverlap="1" layoutInCell="1" locked="0" behindDoc="1" simplePos="0" relativeHeight="268411463">
            <wp:simplePos x="0" y="0"/>
            <wp:positionH relativeFrom="page">
              <wp:posOffset>0</wp:posOffset>
            </wp:positionH>
            <wp:positionV relativeFrom="page">
              <wp:posOffset>45084</wp:posOffset>
            </wp:positionV>
            <wp:extent cx="12109335" cy="17150715"/>
            <wp:effectExtent l="0" t="0" r="0" b="0"/>
            <wp:wrapNone/>
            <wp:docPr id="15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9335" cy="1715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/>
        </w:rPr>
        <w:t>4</w:t>
      </w:r>
      <w:r>
        <w:rPr/>
        <w:t>、样板交底</w:t>
      </w:r>
    </w:p>
    <w:p>
      <w:pPr>
        <w:pStyle w:val="BodyText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spacing w:before="10"/>
        <w:rPr>
          <w:sz w:val="21"/>
        </w:rPr>
      </w:pPr>
    </w:p>
    <w:p>
      <w:pPr>
        <w:spacing w:before="0"/>
        <w:ind w:left="680" w:right="0" w:firstLine="0"/>
        <w:jc w:val="left"/>
        <w:rPr>
          <w:rFonts w:ascii="Arial"/>
          <w:b/>
          <w:sz w:val="26"/>
        </w:rPr>
      </w:pPr>
      <w:r>
        <w:rPr>
          <w:rFonts w:ascii="Arial"/>
          <w:b/>
          <w:sz w:val="26"/>
        </w:rPr>
        <w:t>8 </w:t>
      </w:r>
      <w:r>
        <w:rPr>
          <w:rFonts w:ascii="Arial"/>
          <w:sz w:val="26"/>
        </w:rPr>
        <w:t>/ </w:t>
      </w:r>
      <w:r>
        <w:rPr>
          <w:rFonts w:ascii="Arial"/>
          <w:b/>
          <w:sz w:val="26"/>
        </w:rPr>
        <w:t>12</w:t>
      </w:r>
    </w:p>
    <w:p>
      <w:pPr>
        <w:spacing w:after="0"/>
        <w:jc w:val="left"/>
        <w:rPr>
          <w:rFonts w:ascii="Arial"/>
          <w:sz w:val="26"/>
        </w:rPr>
        <w:sectPr>
          <w:type w:val="continuous"/>
          <w:pgSz w:w="19120" w:h="27080"/>
          <w:pgMar w:top="1940" w:bottom="280" w:left="2160" w:right="2040"/>
          <w:cols w:num="2" w:equalWidth="0">
            <w:col w:w="2681" w:space="3779"/>
            <w:col w:w="8460"/>
          </w:cols>
        </w:sectPr>
      </w:pPr>
    </w:p>
    <w:p>
      <w:pPr>
        <w:tabs>
          <w:tab w:pos="10379" w:val="left" w:leader="none"/>
        </w:tabs>
        <w:spacing w:line="352" w:lineRule="exact" w:before="0"/>
        <w:ind w:left="1520" w:right="0" w:firstLine="0"/>
        <w:jc w:val="left"/>
        <w:rPr>
          <w:rFonts w:ascii="PMingLiU" w:eastAsia="PMingLiU" w:hint="eastAsia"/>
          <w:sz w:val="26"/>
        </w:rPr>
      </w:pPr>
      <w:r>
        <w:rPr/>
        <w:drawing>
          <wp:anchor distT="0" distB="0" distL="0" distR="0" allowOverlap="1" layoutInCell="1" locked="0" behindDoc="1" simplePos="0" relativeHeight="268411487">
            <wp:simplePos x="0" y="0"/>
            <wp:positionH relativeFrom="page">
              <wp:posOffset>0</wp:posOffset>
            </wp:positionH>
            <wp:positionV relativeFrom="page">
              <wp:posOffset>45084</wp:posOffset>
            </wp:positionV>
            <wp:extent cx="12109335" cy="17150715"/>
            <wp:effectExtent l="0" t="0" r="0" b="0"/>
            <wp:wrapNone/>
            <wp:docPr id="17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9335" cy="1715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</w:rPr>
        <w:t>广东腾越建筑工程有限公司</w:t>
        <w:tab/>
      </w:r>
      <w:r>
        <w:rPr>
          <w:rFonts w:ascii="PMingLiU" w:eastAsia="PMingLiU" w:hint="eastAsia"/>
          <w:sz w:val="26"/>
        </w:rPr>
        <w:t>容县碧桂园一期住宅工法样板施工方案</w:t>
      </w:r>
    </w:p>
    <w:p>
      <w:pPr>
        <w:pStyle w:val="BodyText"/>
        <w:spacing w:line="376" w:lineRule="auto" w:before="47"/>
        <w:ind w:left="100" w:right="1340" w:firstLine="580"/>
      </w:pPr>
      <w:r>
        <w:rPr/>
        <w:t>项目部组织现场施工管理员和劳务管理员进行交底，劳务管理员对工人和班组长进 行交底。</w:t>
      </w:r>
    </w:p>
    <w:p>
      <w:pPr>
        <w:pStyle w:val="BodyText"/>
        <w:spacing w:before="83"/>
        <w:ind w:left="680"/>
      </w:pPr>
      <w:r>
        <w:rPr>
          <w:rFonts w:ascii="Arial" w:eastAsia="Arial"/>
        </w:rPr>
        <w:t>5</w:t>
      </w:r>
      <w:r>
        <w:rPr/>
        <w:t>、人员培训和考核</w:t>
      </w:r>
    </w:p>
    <w:p>
      <w:pPr>
        <w:pStyle w:val="BodyText"/>
        <w:tabs>
          <w:tab w:pos="10059" w:val="left" w:leader="none"/>
        </w:tabs>
        <w:spacing w:line="386" w:lineRule="auto" w:before="243"/>
        <w:ind w:left="100" w:right="618" w:firstLine="780"/>
      </w:pPr>
      <w:r>
        <w:rPr/>
        <w:t>项目部对场施工管理员和劳务管理员进行交底培训后，</w:t>
        <w:tab/>
        <w:t>对管理人员进行一次考试作 为考核，考核不合格管理人员进行清退处理，</w:t>
      </w:r>
    </w:p>
    <w:p>
      <w:pPr>
        <w:pStyle w:val="BodyText"/>
        <w:tabs>
          <w:tab w:pos="8899" w:val="left" w:leader="none"/>
        </w:tabs>
        <w:spacing w:line="386" w:lineRule="auto" w:before="49"/>
        <w:ind w:left="100" w:right="699" w:firstLine="780"/>
      </w:pPr>
      <w:r>
        <w:rPr/>
        <w:t>劳务管理员对工人和班组长进行交底考核方式，</w:t>
        <w:tab/>
        <w:t>以项目班子对施工现场质量施工为 标准，进行一周一巡查制度，如发现不符合施工质量进行严厉经济处罚并做清退处理。</w:t>
      </w:r>
    </w:p>
    <w:p>
      <w:pPr>
        <w:pStyle w:val="BodyText"/>
      </w:pPr>
    </w:p>
    <w:p>
      <w:pPr>
        <w:pStyle w:val="BodyText"/>
        <w:spacing w:before="11"/>
        <w:rPr>
          <w:sz w:val="25"/>
        </w:rPr>
      </w:pPr>
    </w:p>
    <w:p>
      <w:pPr>
        <w:pStyle w:val="BodyText"/>
        <w:ind w:left="100"/>
      </w:pPr>
      <w:r>
        <w:rPr>
          <w:rFonts w:ascii="Arial" w:eastAsia="Arial"/>
        </w:rPr>
        <w:t>6.1</w:t>
      </w:r>
      <w:r>
        <w:rPr>
          <w:rFonts w:ascii="Arial" w:eastAsia="Arial"/>
          <w:spacing w:val="97"/>
        </w:rPr>
        <w:t> </w:t>
      </w:r>
      <w:r>
        <w:rPr/>
        <w:t>模板工程施工工艺要求（支撑、加固、拼装、清理）</w:t>
      </w:r>
    </w:p>
    <w:p>
      <w:pPr>
        <w:pStyle w:val="BodyText"/>
        <w:tabs>
          <w:tab w:pos="9759" w:val="left" w:leader="none"/>
        </w:tabs>
        <w:spacing w:line="376" w:lineRule="auto" w:before="263"/>
        <w:ind w:left="100" w:right="1338" w:firstLine="960"/>
      </w:pPr>
      <w:r>
        <w:rPr/>
        <w:t>①模板及其支架应有足够的承载能力、刚度和稳定性，能可靠的承受浇筑砼的重 量、侧压力以及施工荷载，防止胀模、漏浆等现象的出现</w:t>
        <w:tab/>
      </w:r>
      <w:r>
        <w:rPr>
          <w:rFonts w:ascii="Arial" w:hAnsi="Arial" w:eastAsia="Arial"/>
        </w:rPr>
        <w:t>,</w:t>
      </w:r>
      <w:r>
        <w:rPr>
          <w:rFonts w:ascii="Arial" w:hAnsi="Arial" w:eastAsia="Arial"/>
          <w:spacing w:val="-1"/>
        </w:rPr>
        <w:t> </w:t>
      </w:r>
      <w:r>
        <w:rPr/>
        <w:t>保证砼的浇筑质量</w:t>
      </w:r>
    </w:p>
    <w:p>
      <w:pPr>
        <w:pStyle w:val="BodyText"/>
        <w:tabs>
          <w:tab w:pos="13639" w:val="left" w:leader="none"/>
        </w:tabs>
        <w:spacing w:before="34"/>
        <w:ind w:left="1060"/>
        <w:rPr>
          <w:rFonts w:ascii="Arial" w:hAnsi="Arial" w:eastAsia="Arial"/>
        </w:rPr>
      </w:pPr>
      <w:r>
        <w:rPr/>
        <w:t>②模板采用钢管支撑体系，</w:t>
      </w:r>
      <w:r>
        <w:rPr>
          <w:spacing w:val="20"/>
        </w:rPr>
        <w:t> </w:t>
      </w:r>
      <w:r>
        <w:rPr/>
        <w:t>立杆间距为</w:t>
      </w:r>
      <w:r>
        <w:rPr>
          <w:spacing w:val="40"/>
        </w:rPr>
        <w:t> </w:t>
      </w:r>
      <w:r>
        <w:rPr>
          <w:rFonts w:ascii="Arial" w:hAnsi="Arial" w:eastAsia="Arial"/>
          <w:spacing w:val="-1"/>
        </w:rPr>
        <w:t>600mm*60</w:t>
      </w:r>
      <w:r>
        <w:rPr>
          <w:rFonts w:ascii="Arial" w:hAnsi="Arial" w:eastAsia="Arial"/>
          <w:spacing w:val="-100"/>
        </w:rPr>
        <w:t>0</w:t>
      </w:r>
      <w:r>
        <w:rPr>
          <w:rFonts w:ascii="Arial" w:hAnsi="Arial" w:eastAsia="Arial"/>
        </w:rPr>
        <w:t>m</w:t>
      </w:r>
      <w:r>
        <w:rPr>
          <w:rFonts w:ascii="Arial" w:hAnsi="Arial" w:eastAsia="Arial"/>
          <w:spacing w:val="-220"/>
        </w:rPr>
        <w:t>m</w:t>
      </w:r>
      <w:r>
        <w:rPr>
          <w:spacing w:val="-120"/>
        </w:rPr>
        <w:t>，</w:t>
      </w:r>
      <w:r>
        <w:rPr/>
        <w:t>立杆下面应设置垫块</w:t>
        <w:tab/>
      </w:r>
      <w:r>
        <w:rPr>
          <w:rFonts w:ascii="Arial" w:hAnsi="Arial" w:eastAsia="Arial"/>
          <w:spacing w:val="-1"/>
        </w:rPr>
        <w:t>20</w:t>
      </w:r>
      <w:r>
        <w:rPr>
          <w:rFonts w:ascii="Arial" w:hAnsi="Arial" w:eastAsia="Arial"/>
        </w:rPr>
        <w:t>0</w:t>
      </w:r>
      <w:r>
        <w:rPr>
          <w:rFonts w:ascii="Arial" w:hAnsi="Arial" w:eastAsia="Arial"/>
          <w:spacing w:val="-41"/>
        </w:rPr>
        <w:t> </w:t>
      </w:r>
      <w:r>
        <w:rPr>
          <w:rFonts w:ascii="Arial" w:hAnsi="Arial" w:eastAsia="Arial"/>
        </w:rPr>
        <w:t>mm</w:t>
      </w:r>
    </w:p>
    <w:p>
      <w:pPr>
        <w:pStyle w:val="BodyText"/>
        <w:spacing w:before="243"/>
        <w:ind w:left="100"/>
      </w:pPr>
      <w:r>
        <w:rPr>
          <w:rFonts w:ascii="Arial" w:eastAsia="Arial"/>
        </w:rPr>
        <w:t>*200 mm *18 mm</w:t>
      </w:r>
      <w:r>
        <w:rPr/>
        <w:t>。</w:t>
      </w:r>
    </w:p>
    <w:p>
      <w:pPr>
        <w:pStyle w:val="BodyText"/>
        <w:tabs>
          <w:tab w:pos="7499" w:val="left" w:leader="none"/>
          <w:tab w:pos="13639" w:val="left" w:leader="none"/>
        </w:tabs>
        <w:spacing w:before="263"/>
        <w:ind w:left="1060"/>
        <w:rPr>
          <w:rFonts w:ascii="Arial" w:hAnsi="Arial" w:eastAsia="Arial"/>
        </w:rPr>
      </w:pPr>
      <w:r>
        <w:rPr/>
        <w:t>③楼梯施工缝预留位置符合规范要求，</w:t>
        <w:tab/>
        <w:t>上反三步设置，</w:t>
      </w:r>
      <w:r>
        <w:rPr>
          <w:spacing w:val="-140"/>
        </w:rPr>
        <w:t> </w:t>
      </w:r>
      <w:r>
        <w:rPr/>
        <w:t>并在施工缝位置留设</w:t>
        <w:tab/>
      </w:r>
      <w:r>
        <w:rPr>
          <w:rFonts w:ascii="Arial" w:hAnsi="Arial" w:eastAsia="Arial"/>
        </w:rPr>
        <w:t>100</w:t>
      </w:r>
      <w:r>
        <w:rPr>
          <w:rFonts w:ascii="Arial" w:hAnsi="Arial" w:eastAsia="Arial"/>
          <w:spacing w:val="-43"/>
        </w:rPr>
        <w:t> </w:t>
      </w:r>
      <w:r>
        <w:rPr>
          <w:rFonts w:ascii="Arial" w:hAnsi="Arial" w:eastAsia="Arial"/>
        </w:rPr>
        <w:t>mm</w:t>
      </w:r>
    </w:p>
    <w:p>
      <w:pPr>
        <w:pStyle w:val="BodyText"/>
        <w:spacing w:before="243"/>
        <w:ind w:left="100"/>
      </w:pPr>
      <w:r>
        <w:rPr>
          <w:rFonts w:ascii="Arial" w:eastAsia="Arial"/>
        </w:rPr>
        <w:t>*50 mm</w:t>
      </w:r>
      <w:r>
        <w:rPr/>
        <w:t>的清扫口。</w:t>
      </w:r>
    </w:p>
    <w:p>
      <w:pPr>
        <w:pStyle w:val="BodyText"/>
        <w:tabs>
          <w:tab w:pos="8679" w:val="left" w:leader="none"/>
        </w:tabs>
        <w:spacing w:line="357" w:lineRule="auto" w:before="263"/>
        <w:ind w:left="100" w:right="538" w:firstLine="1160"/>
      </w:pPr>
      <w:r>
        <w:rPr/>
        <w:t>④柱、剪力墙模板底部设置清扫口，大小为</w:t>
        <w:tab/>
      </w:r>
      <w:r>
        <w:rPr>
          <w:rFonts w:ascii="Arial" w:hAnsi="Arial" w:eastAsia="Arial"/>
          <w:spacing w:val="-1"/>
        </w:rPr>
        <w:t>10</w:t>
      </w:r>
      <w:r>
        <w:rPr>
          <w:rFonts w:ascii="Arial" w:hAnsi="Arial" w:eastAsia="Arial"/>
        </w:rPr>
        <w:t>0</w:t>
      </w:r>
      <w:r>
        <w:rPr>
          <w:rFonts w:ascii="Arial" w:hAnsi="Arial" w:eastAsia="Arial"/>
          <w:spacing w:val="39"/>
        </w:rPr>
        <w:t> </w:t>
      </w:r>
      <w:r>
        <w:rPr>
          <w:rFonts w:ascii="Arial" w:hAnsi="Arial" w:eastAsia="Arial"/>
        </w:rPr>
        <w:t>m</w:t>
      </w:r>
      <w:r>
        <w:rPr>
          <w:rFonts w:ascii="Arial" w:hAnsi="Arial" w:eastAsia="Arial"/>
          <w:spacing w:val="-80"/>
        </w:rPr>
        <w:t>m</w:t>
      </w:r>
      <w:r>
        <w:rPr>
          <w:rFonts w:ascii="Arial" w:hAnsi="Arial" w:eastAsia="Arial"/>
          <w:spacing w:val="-1"/>
        </w:rPr>
        <w:t>*10</w:t>
      </w:r>
      <w:r>
        <w:rPr>
          <w:rFonts w:ascii="Arial" w:hAnsi="Arial" w:eastAsia="Arial"/>
        </w:rPr>
        <w:t>0 </w:t>
      </w:r>
      <w:r>
        <w:rPr>
          <w:rFonts w:ascii="Arial" w:hAnsi="Arial" w:eastAsia="Arial"/>
          <w:spacing w:val="-41"/>
        </w:rPr>
        <w:t> </w:t>
      </w:r>
      <w:r>
        <w:rPr>
          <w:rFonts w:ascii="Arial" w:hAnsi="Arial" w:eastAsia="Arial"/>
        </w:rPr>
        <w:t>m</w:t>
      </w:r>
      <w:r>
        <w:rPr>
          <w:rFonts w:ascii="Arial" w:hAnsi="Arial" w:eastAsia="Arial"/>
          <w:spacing w:val="-220"/>
        </w:rPr>
        <w:t>m</w:t>
      </w:r>
      <w:r>
        <w:rPr/>
        <w:t>，有利于清理柱内垃 圾杂物，保证柱混凝土的浇捣质量。</w:t>
      </w:r>
    </w:p>
    <w:p>
      <w:pPr>
        <w:pStyle w:val="BodyText"/>
        <w:tabs>
          <w:tab w:pos="5219" w:val="left" w:leader="none"/>
        </w:tabs>
        <w:spacing w:before="112"/>
        <w:ind w:left="1260"/>
      </w:pPr>
      <w:r>
        <w:rPr/>
        <w:t>⑤板的模板木枋间距为</w:t>
        <w:tab/>
      </w:r>
      <w:r>
        <w:rPr>
          <w:rFonts w:ascii="Arial" w:hAnsi="Arial" w:eastAsia="Arial"/>
          <w:spacing w:val="-1"/>
        </w:rPr>
        <w:t>20</w:t>
      </w:r>
      <w:r>
        <w:rPr>
          <w:rFonts w:ascii="Arial" w:hAnsi="Arial" w:eastAsia="Arial"/>
        </w:rPr>
        <w:t>0 m</w:t>
      </w:r>
      <w:r>
        <w:rPr>
          <w:rFonts w:ascii="Arial" w:hAnsi="Arial" w:eastAsia="Arial"/>
          <w:spacing w:val="-161"/>
        </w:rPr>
        <w:t>m</w:t>
      </w:r>
      <w:r>
        <w:rPr/>
        <w:t>。</w:t>
      </w:r>
    </w:p>
    <w:p>
      <w:pPr>
        <w:pStyle w:val="BodyText"/>
        <w:spacing w:before="243"/>
        <w:ind w:left="1260"/>
      </w:pPr>
      <w:r>
        <w:rPr/>
        <w:t>⑥沉箱反坎应采用吊架，下用钢筋马镫支撑，严禁穿铁线固定。</w:t>
      </w:r>
    </w:p>
    <w:p>
      <w:pPr>
        <w:pStyle w:val="BodyText"/>
        <w:spacing w:before="309"/>
        <w:ind w:left="100"/>
      </w:pPr>
      <w:r>
        <w:rPr>
          <w:rFonts w:ascii="Arial" w:eastAsia="Arial"/>
        </w:rPr>
        <w:t>6.2</w:t>
      </w:r>
      <w:r>
        <w:rPr>
          <w:rFonts w:ascii="Arial" w:eastAsia="Arial"/>
          <w:spacing w:val="97"/>
        </w:rPr>
        <w:t> </w:t>
      </w:r>
      <w:r>
        <w:rPr/>
        <w:t>钢筋工程施工工艺要求（下料、连接、安装、成品保护）</w:t>
      </w:r>
    </w:p>
    <w:p>
      <w:pPr>
        <w:pStyle w:val="BodyText"/>
        <w:tabs>
          <w:tab w:pos="7999" w:val="left" w:leader="none"/>
          <w:tab w:pos="13539" w:val="left" w:leader="none"/>
        </w:tabs>
        <w:spacing w:before="243"/>
        <w:ind w:left="1060"/>
      </w:pPr>
      <w:r>
        <w:rPr/>
        <w:t>①梁柱箍筋弯钩及剪力墙拉钩必须做成</w:t>
        <w:tab/>
      </w:r>
      <w:r>
        <w:rPr>
          <w:rFonts w:ascii="Arial" w:hAnsi="Arial" w:eastAsia="Arial"/>
        </w:rPr>
        <w:t>135</w:t>
      </w:r>
      <w:r>
        <w:rPr/>
        <w:t>°，弯钩平直段长度不少于</w:t>
        <w:tab/>
      </w:r>
      <w:r>
        <w:rPr>
          <w:rFonts w:ascii="Arial" w:hAnsi="Arial" w:eastAsia="Arial"/>
        </w:rPr>
        <w:t>10d</w:t>
      </w:r>
      <w:r>
        <w:rPr>
          <w:rFonts w:ascii="Arial" w:hAnsi="Arial" w:eastAsia="Arial"/>
          <w:spacing w:val="57"/>
        </w:rPr>
        <w:t> </w:t>
      </w:r>
      <w:r>
        <w:rPr/>
        <w:t>或</w:t>
      </w:r>
    </w:p>
    <w:p>
      <w:pPr>
        <w:pStyle w:val="BodyText"/>
        <w:spacing w:before="263"/>
        <w:ind w:left="100"/>
      </w:pPr>
      <w:r>
        <w:rPr>
          <w:rFonts w:ascii="Arial" w:eastAsia="Arial"/>
          <w:spacing w:val="-1"/>
        </w:rPr>
        <w:t>75m</w:t>
      </w:r>
      <w:r>
        <w:rPr>
          <w:rFonts w:ascii="Arial" w:eastAsia="Arial"/>
          <w:spacing w:val="-220"/>
        </w:rPr>
        <w:t>m</w:t>
      </w:r>
      <w:r>
        <w:rPr/>
        <w:t>。</w:t>
      </w:r>
    </w:p>
    <w:p>
      <w:pPr>
        <w:pStyle w:val="BodyText"/>
        <w:spacing w:line="376" w:lineRule="auto" w:before="263"/>
        <w:ind w:left="100" w:right="1320" w:firstLine="960"/>
      </w:pPr>
      <w:r>
        <w:rPr/>
        <w:t>②所有钢筋必须全数满绑，严禁跳扎。尤其是梁底筋、梁柱接头钢筋必须全部绑 扎；楼板钢筋绑扎间距要均匀。</w:t>
      </w:r>
    </w:p>
    <w:p>
      <w:pPr>
        <w:pStyle w:val="BodyText"/>
        <w:tabs>
          <w:tab w:pos="8479" w:val="left" w:leader="none"/>
        </w:tabs>
        <w:spacing w:before="83"/>
        <w:ind w:left="1060"/>
      </w:pPr>
      <w:r>
        <w:rPr/>
        <w:t>③底座钢筋采用预制水泥砂浆垫块，间距为</w:t>
        <w:tab/>
      </w:r>
      <w:r>
        <w:rPr>
          <w:rFonts w:ascii="Arial" w:hAnsi="Arial" w:eastAsia="Arial"/>
          <w:spacing w:val="-1"/>
        </w:rPr>
        <w:t>@450mm*450</w:t>
      </w:r>
      <w:r>
        <w:rPr>
          <w:rFonts w:ascii="Arial" w:hAnsi="Arial" w:eastAsia="Arial"/>
          <w:spacing w:val="-266"/>
        </w:rPr>
        <w:t>m</w:t>
      </w:r>
      <w:r>
        <w:rPr>
          <w:spacing w:val="-95"/>
        </w:rPr>
        <w:t>；</w:t>
      </w:r>
      <w:r>
        <w:rPr>
          <w:rFonts w:ascii="Arial" w:hAnsi="Arial" w:eastAsia="Arial"/>
          <w:spacing w:val="-206"/>
        </w:rPr>
        <w:t>m</w:t>
      </w:r>
      <w:r>
        <w:rPr/>
        <w:t>面筋采用马凳，间距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2"/>
        </w:rPr>
      </w:pPr>
    </w:p>
    <w:p>
      <w:pPr>
        <w:spacing w:before="67"/>
        <w:ind w:left="7130" w:right="7178" w:firstLine="0"/>
        <w:jc w:val="center"/>
        <w:rPr>
          <w:rFonts w:ascii="Arial"/>
          <w:b/>
          <w:sz w:val="26"/>
        </w:rPr>
      </w:pPr>
      <w:r>
        <w:rPr>
          <w:rFonts w:ascii="Arial"/>
          <w:b/>
          <w:sz w:val="26"/>
        </w:rPr>
        <w:t>9 </w:t>
      </w:r>
      <w:r>
        <w:rPr>
          <w:rFonts w:ascii="Arial"/>
          <w:sz w:val="26"/>
        </w:rPr>
        <w:t>/ </w:t>
      </w:r>
      <w:r>
        <w:rPr>
          <w:rFonts w:ascii="Arial"/>
          <w:b/>
          <w:sz w:val="26"/>
        </w:rPr>
        <w:t>12</w:t>
      </w:r>
    </w:p>
    <w:p>
      <w:pPr>
        <w:spacing w:after="0"/>
        <w:jc w:val="center"/>
        <w:rPr>
          <w:rFonts w:ascii="Arial"/>
          <w:sz w:val="26"/>
        </w:rPr>
        <w:sectPr>
          <w:pgSz w:w="19120" w:h="27080"/>
          <w:pgMar w:top="1940" w:bottom="280" w:left="2160" w:right="1960"/>
        </w:sectPr>
      </w:pPr>
    </w:p>
    <w:p>
      <w:pPr>
        <w:tabs>
          <w:tab w:pos="10379" w:val="left" w:leader="none"/>
        </w:tabs>
        <w:spacing w:line="352" w:lineRule="exact" w:before="0"/>
        <w:ind w:left="1520" w:right="0" w:firstLine="0"/>
        <w:jc w:val="left"/>
        <w:rPr>
          <w:rFonts w:ascii="PMingLiU" w:eastAsia="PMingLiU" w:hint="eastAsia"/>
          <w:sz w:val="26"/>
        </w:rPr>
      </w:pPr>
      <w:r>
        <w:rPr/>
        <w:drawing>
          <wp:anchor distT="0" distB="0" distL="0" distR="0" allowOverlap="1" layoutInCell="1" locked="0" behindDoc="1" simplePos="0" relativeHeight="268411511">
            <wp:simplePos x="0" y="0"/>
            <wp:positionH relativeFrom="page">
              <wp:posOffset>0</wp:posOffset>
            </wp:positionH>
            <wp:positionV relativeFrom="page">
              <wp:posOffset>45084</wp:posOffset>
            </wp:positionV>
            <wp:extent cx="12109335" cy="17150715"/>
            <wp:effectExtent l="0" t="0" r="0" b="0"/>
            <wp:wrapNone/>
            <wp:docPr id="19" name="image7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9335" cy="1715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</w:rPr>
        <w:t>广东腾越建筑工程有限公司</w:t>
        <w:tab/>
      </w:r>
      <w:r>
        <w:rPr>
          <w:rFonts w:ascii="PMingLiU" w:eastAsia="PMingLiU" w:hint="eastAsia"/>
          <w:sz w:val="26"/>
        </w:rPr>
        <w:t>容县碧桂园一期住宅工法样板施工方案</w:t>
      </w: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rPr>
          <w:rFonts w:ascii="PMingLiU"/>
          <w:sz w:val="20"/>
        </w:rPr>
      </w:pPr>
    </w:p>
    <w:p>
      <w:pPr>
        <w:pStyle w:val="BodyText"/>
        <w:spacing w:before="6"/>
        <w:rPr>
          <w:rFonts w:ascii="PMingLiU"/>
          <w:sz w:val="15"/>
        </w:rPr>
      </w:pPr>
    </w:p>
    <w:p>
      <w:pPr>
        <w:pStyle w:val="BodyText"/>
        <w:spacing w:line="486" w:lineRule="exact"/>
        <w:ind w:left="100"/>
      </w:pPr>
      <w:r>
        <w:rPr>
          <w:rFonts w:ascii="Arial" w:eastAsia="Arial"/>
        </w:rPr>
        <w:t>1000m</w:t>
      </w:r>
      <w:r>
        <w:rPr/>
        <w:t>马凳形状如下图：</w:t>
      </w:r>
    </w:p>
    <w:p>
      <w:pPr>
        <w:pStyle w:val="BodyText"/>
        <w:tabs>
          <w:tab w:pos="4439" w:val="left" w:leader="none"/>
          <w:tab w:pos="11999" w:val="left" w:leader="none"/>
        </w:tabs>
        <w:spacing w:line="362" w:lineRule="auto" w:before="243"/>
        <w:ind w:left="100" w:right="398" w:firstLine="960"/>
      </w:pPr>
      <w:r>
        <w:rPr/>
        <w:t>④暗配的导管的埋设深度与建筑物、构筑物表面的距离不应小于</w:t>
        <w:tab/>
      </w:r>
      <w:r>
        <w:rPr>
          <w:rFonts w:ascii="Arial" w:hAnsi="Arial" w:eastAsia="Arial"/>
          <w:spacing w:val="-1"/>
        </w:rPr>
        <w:t>15m</w:t>
      </w:r>
      <w:r>
        <w:rPr>
          <w:rFonts w:ascii="Arial" w:hAnsi="Arial" w:eastAsia="Arial"/>
          <w:spacing w:val="-240"/>
        </w:rPr>
        <w:t>m</w:t>
      </w:r>
      <w:r>
        <w:rPr/>
        <w:t>，导管与导 管间的最小净距不应小于</w:t>
        <w:tab/>
      </w:r>
      <w:r>
        <w:rPr>
          <w:rFonts w:ascii="Arial" w:hAnsi="Arial" w:eastAsia="Arial"/>
          <w:spacing w:val="-1"/>
        </w:rPr>
        <w:t>30m</w:t>
      </w:r>
      <w:r>
        <w:rPr>
          <w:rFonts w:ascii="Arial" w:hAnsi="Arial" w:eastAsia="Arial"/>
          <w:spacing w:val="-220"/>
        </w:rPr>
        <w:t>m</w:t>
      </w:r>
      <w:r>
        <w:rPr/>
        <w:t>，应排列整齐，固定点间距均匀，在底层钢筋绑扎完成， 上层钢筋未绑扎前敷设，且检查确认，才能绑扎上层钢筋和浇捣混凝土。</w:t>
      </w:r>
    </w:p>
    <w:p>
      <w:pPr>
        <w:pStyle w:val="BodyText"/>
        <w:tabs>
          <w:tab w:pos="6399" w:val="left" w:leader="none"/>
          <w:tab w:pos="10739" w:val="left" w:leader="none"/>
          <w:tab w:pos="14519" w:val="left" w:leader="none"/>
        </w:tabs>
        <w:spacing w:before="105"/>
        <w:ind w:left="1060"/>
        <w:rPr>
          <w:rFonts w:ascii="Arial" w:hAnsi="Arial" w:eastAsia="Arial"/>
        </w:rPr>
      </w:pPr>
      <w:r>
        <w:rPr/>
        <w:t>⑤接地体的连接应采用搭接焊，</w:t>
        <w:tab/>
        <w:t>搭接长度扁钢为其宽度的</w:t>
        <w:tab/>
      </w:r>
      <w:r>
        <w:rPr>
          <w:rFonts w:ascii="Arial" w:hAnsi="Arial" w:eastAsia="Arial"/>
        </w:rPr>
        <w:t>2</w:t>
      </w:r>
      <w:r>
        <w:rPr>
          <w:rFonts w:ascii="Arial" w:hAnsi="Arial" w:eastAsia="Arial"/>
          <w:spacing w:val="-20"/>
        </w:rPr>
        <w:t> </w:t>
      </w:r>
      <w:r>
        <w:rPr>
          <w:spacing w:val="-3"/>
        </w:rPr>
        <w:t>倍，圆钢为其直径的</w:t>
        <w:tab/>
      </w:r>
      <w:r>
        <w:rPr>
          <w:rFonts w:ascii="Arial" w:hAnsi="Arial" w:eastAsia="Arial"/>
        </w:rPr>
        <w:t>6</w:t>
      </w:r>
    </w:p>
    <w:p>
      <w:pPr>
        <w:pStyle w:val="BodyText"/>
        <w:tabs>
          <w:tab w:pos="7919" w:val="left" w:leader="none"/>
        </w:tabs>
        <w:spacing w:before="243"/>
        <w:ind w:left="100"/>
      </w:pPr>
      <w:r>
        <w:rPr/>
        <w:t>倍，圆钢与扁钢连接时，其长度为圆钢直径的</w:t>
        <w:tab/>
      </w:r>
      <w:r>
        <w:rPr>
          <w:rFonts w:ascii="Arial" w:eastAsia="Arial"/>
        </w:rPr>
        <w:t>6</w:t>
      </w:r>
      <w:r>
        <w:rPr>
          <w:rFonts w:ascii="Arial" w:eastAsia="Arial"/>
          <w:spacing w:val="-1"/>
        </w:rPr>
        <w:t> </w:t>
      </w:r>
      <w:r>
        <w:rPr/>
        <w:t>倍。</w:t>
      </w:r>
    </w:p>
    <w:p>
      <w:pPr>
        <w:pStyle w:val="BodyText"/>
        <w:spacing w:before="263"/>
        <w:ind w:left="100"/>
      </w:pPr>
      <w:r>
        <w:rPr>
          <w:rFonts w:ascii="Arial" w:eastAsia="Arial"/>
        </w:rPr>
        <w:t>6.3</w:t>
      </w:r>
      <w:r>
        <w:rPr>
          <w:rFonts w:ascii="Arial" w:eastAsia="Arial"/>
          <w:spacing w:val="97"/>
        </w:rPr>
        <w:t> </w:t>
      </w:r>
      <w:r>
        <w:rPr/>
        <w:t>混凝土工程施工工艺要求（成型、养护、凿毛、翻边）</w:t>
      </w:r>
    </w:p>
    <w:p>
      <w:pPr>
        <w:pStyle w:val="BodyText"/>
        <w:spacing w:before="263"/>
        <w:ind w:left="1060"/>
      </w:pPr>
      <w:r>
        <w:rPr/>
        <w:t>①为保证混凝土浇筑脱模效果，混凝土应使用适合量的减水剂。</w:t>
      </w:r>
    </w:p>
    <w:p>
      <w:pPr>
        <w:pStyle w:val="BodyText"/>
        <w:spacing w:line="386" w:lineRule="auto" w:before="269"/>
        <w:ind w:left="100" w:right="1280" w:firstLine="960"/>
      </w:pPr>
      <w:r>
        <w:rPr/>
        <w:t>②梁柱混凝土浇捣时使用插入式振动器，要求四周侧振捣密实；板混凝土浇筑必 须使用平板振动器振捣，表面必须采用磨光机收光或进行拉毛处理。不允许有蜂窝。</w:t>
      </w:r>
    </w:p>
    <w:p>
      <w:pPr>
        <w:pStyle w:val="BodyText"/>
        <w:tabs>
          <w:tab w:pos="11579" w:val="left" w:leader="none"/>
        </w:tabs>
        <w:spacing w:before="49"/>
        <w:ind w:left="1060"/>
      </w:pPr>
      <w:r>
        <w:rPr/>
        <w:t>③主体模板为避免积水，在底座混凝土浇筑时，应向四周找坡</w:t>
        <w:tab/>
      </w:r>
      <w:r>
        <w:rPr>
          <w:rFonts w:ascii="Arial" w:hAnsi="Arial" w:eastAsia="Arial"/>
          <w:spacing w:val="-48"/>
        </w:rPr>
        <w:t>2%</w:t>
      </w:r>
      <w:r>
        <w:rPr>
          <w:spacing w:val="-48"/>
        </w:rPr>
        <w:t>。</w:t>
      </w:r>
    </w:p>
    <w:p>
      <w:pPr>
        <w:pStyle w:val="BodyText"/>
        <w:spacing w:before="263"/>
        <w:ind w:left="1060"/>
      </w:pPr>
      <w:r>
        <w:rPr/>
        <w:t>④合理控制现浇结构的尺寸偏差，提高混凝土的成型质量。</w:t>
      </w:r>
    </w:p>
    <w:p>
      <w:pPr>
        <w:pStyle w:val="BodyText"/>
        <w:spacing w:before="269"/>
        <w:ind w:left="100"/>
      </w:pPr>
      <w:r>
        <w:rPr>
          <w:rFonts w:ascii="Arial" w:eastAsia="Arial"/>
        </w:rPr>
        <w:t>6.4</w:t>
      </w:r>
      <w:r>
        <w:rPr>
          <w:rFonts w:ascii="Arial" w:eastAsia="Arial"/>
          <w:spacing w:val="97"/>
        </w:rPr>
        <w:t> </w:t>
      </w:r>
      <w:r>
        <w:rPr/>
        <w:t>栏杆工程</w:t>
      </w:r>
    </w:p>
    <w:p>
      <w:pPr>
        <w:pStyle w:val="BodyText"/>
        <w:tabs>
          <w:tab w:pos="4939" w:val="left" w:leader="none"/>
          <w:tab w:pos="13759" w:val="left" w:leader="none"/>
        </w:tabs>
        <w:spacing w:before="263"/>
        <w:ind w:left="1060"/>
        <w:rPr>
          <w:rFonts w:ascii="Arial" w:hAnsi="Arial" w:eastAsia="Arial"/>
        </w:rPr>
      </w:pPr>
      <w:r>
        <w:rPr/>
        <w:t>①采用锌钢组合栏杆：</w:t>
        <w:tab/>
      </w:r>
      <w:r>
        <w:rPr>
          <w:rFonts w:ascii="Arial" w:hAnsi="Arial" w:eastAsia="Arial"/>
        </w:rPr>
        <w:t>80*40 </w:t>
      </w:r>
      <w:r>
        <w:rPr/>
        <w:t>扁圆钢管扶手，</w:t>
      </w:r>
      <w:r>
        <w:rPr>
          <w:spacing w:val="15"/>
        </w:rPr>
        <w:t> </w:t>
      </w:r>
      <w:r>
        <w:rPr>
          <w:rFonts w:ascii="Arial" w:hAnsi="Arial" w:eastAsia="Arial"/>
        </w:rPr>
        <w:t>35*35</w:t>
      </w:r>
      <w:r>
        <w:rPr>
          <w:rFonts w:ascii="Arial" w:hAnsi="Arial" w:eastAsia="Arial"/>
          <w:spacing w:val="37"/>
        </w:rPr>
        <w:t> </w:t>
      </w:r>
      <w:r>
        <w:rPr/>
        <w:t>方钢管横樘，立杆采用</w:t>
        <w:tab/>
      </w:r>
      <w:r>
        <w:rPr>
          <w:rFonts w:ascii="Arial" w:hAnsi="Arial" w:eastAsia="Arial"/>
        </w:rPr>
        <w:t>19*19</w:t>
      </w:r>
    </w:p>
    <w:p>
      <w:pPr>
        <w:pStyle w:val="BodyText"/>
        <w:spacing w:before="243"/>
        <w:ind w:left="100"/>
      </w:pPr>
      <w:r>
        <w:rPr/>
        <w:t>方钢管立杆。</w:t>
      </w:r>
    </w:p>
    <w:p>
      <w:pPr>
        <w:pStyle w:val="BodyText"/>
        <w:tabs>
          <w:tab w:pos="13419" w:val="left" w:leader="none"/>
        </w:tabs>
        <w:spacing w:line="357" w:lineRule="auto" w:before="289"/>
        <w:ind w:left="100" w:right="98" w:firstLine="960"/>
      </w:pPr>
      <w:r>
        <w:rPr/>
        <w:t>②栏杆高度为</w:t>
      </w:r>
      <w:r>
        <w:rPr>
          <w:spacing w:val="80"/>
        </w:rPr>
        <w:t> </w:t>
      </w:r>
      <w:r>
        <w:rPr>
          <w:rFonts w:ascii="Arial" w:hAnsi="Arial" w:eastAsia="Arial"/>
          <w:spacing w:val="-1"/>
        </w:rPr>
        <w:t>1100m</w:t>
      </w:r>
      <w:r>
        <w:rPr>
          <w:rFonts w:ascii="Arial" w:hAnsi="Arial" w:eastAsia="Arial"/>
          <w:spacing w:val="-241"/>
        </w:rPr>
        <w:t>m</w:t>
      </w:r>
      <w:r>
        <w:rPr/>
        <w:t>（反边 </w:t>
      </w:r>
      <w:r>
        <w:rPr>
          <w:rFonts w:ascii="Arial" w:hAnsi="Arial" w:eastAsia="Arial"/>
          <w:spacing w:val="-1"/>
        </w:rPr>
        <w:t>200m</w:t>
      </w:r>
      <w:r>
        <w:rPr>
          <w:rFonts w:ascii="Arial" w:hAnsi="Arial" w:eastAsia="Arial"/>
          <w:spacing w:val="-241"/>
        </w:rPr>
        <w:t>m</w:t>
      </w:r>
      <w:r>
        <w:rPr/>
        <w:t>，凸肚栏杆</w:t>
      </w:r>
      <w:r>
        <w:rPr>
          <w:spacing w:val="40"/>
        </w:rPr>
        <w:t> </w:t>
      </w:r>
      <w:r>
        <w:rPr>
          <w:rFonts w:ascii="Arial" w:hAnsi="Arial" w:eastAsia="Arial"/>
          <w:spacing w:val="-1"/>
        </w:rPr>
        <w:t>900m</w:t>
      </w:r>
      <w:r>
        <w:rPr>
          <w:rFonts w:ascii="Arial" w:hAnsi="Arial" w:eastAsia="Arial"/>
          <w:spacing w:val="-241"/>
        </w:rPr>
        <w:t>m</w:t>
      </w:r>
      <w:r>
        <w:rPr/>
        <w:t>）；栏杆立杆间距为</w:t>
        <w:tab/>
      </w:r>
      <w:r>
        <w:rPr>
          <w:rFonts w:ascii="Arial" w:hAnsi="Arial" w:eastAsia="Arial"/>
          <w:spacing w:val="-1"/>
        </w:rPr>
        <w:t>110m</w:t>
      </w:r>
      <w:r>
        <w:rPr>
          <w:rFonts w:ascii="Arial" w:hAnsi="Arial" w:eastAsia="Arial"/>
          <w:spacing w:val="-221"/>
        </w:rPr>
        <w:t>m</w:t>
      </w:r>
      <w:r>
        <w:rPr/>
        <w:t>， 为保证竖杆净空≤</w:t>
      </w:r>
      <w:r>
        <w:rPr>
          <w:spacing w:val="40"/>
        </w:rPr>
        <w:t> </w:t>
      </w:r>
      <w:r>
        <w:rPr>
          <w:rFonts w:ascii="Arial" w:hAnsi="Arial" w:eastAsia="Arial"/>
          <w:spacing w:val="-1"/>
        </w:rPr>
        <w:t>110m</w:t>
      </w:r>
      <w:r>
        <w:rPr>
          <w:rFonts w:ascii="Arial" w:hAnsi="Arial" w:eastAsia="Arial"/>
          <w:spacing w:val="-241"/>
        </w:rPr>
        <w:t>m</w:t>
      </w:r>
      <w:r>
        <w:rPr>
          <w:spacing w:val="-160"/>
        </w:rPr>
        <w:t>，</w:t>
      </w:r>
      <w:r>
        <w:rPr/>
        <w:t>栏杆转角处应设置立杆。</w:t>
      </w:r>
      <w:r>
        <w:rPr>
          <w:spacing w:val="-100"/>
        </w:rPr>
        <w:t> </w:t>
      </w:r>
      <w:r>
        <w:rPr/>
        <w:t>可踏面为高度为</w:t>
      </w:r>
      <w:r>
        <w:rPr>
          <w:spacing w:val="80"/>
        </w:rPr>
        <w:t> </w:t>
      </w:r>
      <w:r>
        <w:rPr>
          <w:rFonts w:ascii="Arial" w:hAnsi="Arial" w:eastAsia="Arial"/>
          <w:spacing w:val="-1"/>
        </w:rPr>
        <w:t>200m</w:t>
      </w:r>
      <w:r>
        <w:rPr>
          <w:rFonts w:ascii="Arial" w:hAnsi="Arial" w:eastAsia="Arial"/>
          <w:spacing w:val="-241"/>
        </w:rPr>
        <w:t>m</w:t>
      </w:r>
      <w:r>
        <w:rPr>
          <w:spacing w:val="-160"/>
        </w:rPr>
        <w:t>，</w:t>
      </w:r>
      <w:r>
        <w:rPr/>
        <w:t>宽度为</w:t>
      </w:r>
      <w:r>
        <w:rPr>
          <w:spacing w:val="-60"/>
        </w:rPr>
        <w:t> </w:t>
      </w:r>
      <w:r>
        <w:rPr>
          <w:rFonts w:ascii="Arial" w:hAnsi="Arial" w:eastAsia="Arial"/>
          <w:spacing w:val="-1"/>
        </w:rPr>
        <w:t>120m</w:t>
      </w:r>
      <w:r>
        <w:rPr>
          <w:rFonts w:ascii="Arial" w:hAnsi="Arial" w:eastAsia="Arial"/>
          <w:spacing w:val="-241"/>
        </w:rPr>
        <w:t>m</w:t>
      </w:r>
      <w:r>
        <w:rPr/>
        <w:t>。</w:t>
      </w:r>
    </w:p>
    <w:p>
      <w:pPr>
        <w:pStyle w:val="BodyText"/>
        <w:spacing w:before="66"/>
        <w:ind w:left="500"/>
      </w:pPr>
      <w:r>
        <w:rPr>
          <w:rFonts w:ascii="Arial" w:eastAsia="Arial"/>
        </w:rPr>
        <w:t>6.5</w:t>
      </w:r>
      <w:r>
        <w:rPr>
          <w:rFonts w:ascii="Arial" w:eastAsia="Arial"/>
          <w:spacing w:val="77"/>
        </w:rPr>
        <w:t> </w:t>
      </w:r>
      <w:r>
        <w:rPr/>
        <w:t>砌体工程施工工艺要求</w:t>
      </w:r>
    </w:p>
    <w:p>
      <w:pPr>
        <w:pStyle w:val="BodyText"/>
        <w:spacing w:before="263"/>
        <w:ind w:left="880"/>
      </w:pPr>
      <w:r>
        <w:rPr/>
        <w:t>（</w:t>
      </w:r>
      <w:r>
        <w:rPr>
          <w:rFonts w:ascii="Arial" w:eastAsia="Arial"/>
        </w:rPr>
        <w:t>1) </w:t>
      </w:r>
      <w:r>
        <w:rPr/>
        <w:t>填充墙底部、顶部的处理；</w:t>
      </w:r>
    </w:p>
    <w:p>
      <w:pPr>
        <w:pStyle w:val="BodyText"/>
        <w:tabs>
          <w:tab w:pos="9139" w:val="left" w:leader="none"/>
          <w:tab w:pos="9479" w:val="left" w:leader="none"/>
          <w:tab w:pos="12759" w:val="left" w:leader="none"/>
        </w:tabs>
        <w:spacing w:line="372" w:lineRule="auto" w:before="243"/>
        <w:ind w:left="100" w:right="398" w:firstLine="1160"/>
      </w:pPr>
      <w:r>
        <w:rPr/>
        <w:t>①用轻骨料混凝土小型空心砌块或蒸压加气混凝土砌块砌筑墙体时，</w:t>
        <w:tab/>
        <w:t>墙底部应砌 烧结页岩实心砖或现浇混凝土坎台等，其高度不宜小于</w:t>
        <w:tab/>
        <w:tab/>
      </w:r>
      <w:r>
        <w:rPr>
          <w:rFonts w:ascii="Arial" w:hAnsi="Arial" w:eastAsia="Arial"/>
          <w:spacing w:val="-1"/>
        </w:rPr>
        <w:t>200m</w:t>
      </w:r>
      <w:r>
        <w:rPr>
          <w:rFonts w:ascii="Arial" w:hAnsi="Arial" w:eastAsia="Arial"/>
          <w:spacing w:val="-241"/>
        </w:rPr>
        <w:t>m</w:t>
      </w:r>
      <w:r>
        <w:rPr/>
        <w:t>。填充墙砌至接近梁、板 底时，应留一定空隙，待填充墙砌筑完并应至少间隔</w:t>
        <w:tab/>
      </w:r>
      <w:r>
        <w:rPr>
          <w:rFonts w:ascii="Arial" w:hAnsi="Arial" w:eastAsia="Arial"/>
        </w:rPr>
        <w:t>7d</w:t>
      </w:r>
      <w:r>
        <w:rPr>
          <w:rFonts w:ascii="Arial" w:hAnsi="Arial" w:eastAsia="Arial"/>
          <w:spacing w:val="38"/>
        </w:rPr>
        <w:t> </w:t>
      </w:r>
      <w:r>
        <w:rPr/>
        <w:t>后，再将其补砌挤紧。顶砖高</w:t>
      </w:r>
    </w:p>
    <w:p>
      <w:pPr>
        <w:pStyle w:val="BodyText"/>
        <w:spacing w:before="5"/>
        <w:rPr>
          <w:sz w:val="28"/>
        </w:rPr>
      </w:pPr>
    </w:p>
    <w:p>
      <w:pPr>
        <w:spacing w:before="67"/>
        <w:ind w:left="7066" w:right="7057" w:firstLine="0"/>
        <w:jc w:val="center"/>
        <w:rPr>
          <w:rFonts w:ascii="Arial"/>
          <w:b/>
          <w:sz w:val="26"/>
        </w:rPr>
      </w:pPr>
      <w:r>
        <w:rPr>
          <w:rFonts w:ascii="Arial"/>
          <w:b/>
          <w:sz w:val="26"/>
        </w:rPr>
        <w:t>10 </w:t>
      </w:r>
      <w:r>
        <w:rPr>
          <w:rFonts w:ascii="Arial"/>
          <w:sz w:val="26"/>
        </w:rPr>
        <w:t>/ </w:t>
      </w:r>
      <w:r>
        <w:rPr>
          <w:rFonts w:ascii="Arial"/>
          <w:b/>
          <w:sz w:val="26"/>
        </w:rPr>
        <w:t>12</w:t>
      </w:r>
    </w:p>
    <w:p>
      <w:pPr>
        <w:spacing w:after="0"/>
        <w:jc w:val="center"/>
        <w:rPr>
          <w:rFonts w:ascii="Arial"/>
          <w:sz w:val="26"/>
        </w:rPr>
        <w:sectPr>
          <w:pgSz w:w="19120" w:h="27080"/>
          <w:pgMar w:top="1940" w:bottom="280" w:left="2160" w:right="2000"/>
        </w:sectPr>
      </w:pPr>
    </w:p>
    <w:p>
      <w:pPr>
        <w:tabs>
          <w:tab w:pos="10379" w:val="left" w:leader="none"/>
        </w:tabs>
        <w:spacing w:line="352" w:lineRule="exact" w:before="0"/>
        <w:ind w:left="1520" w:right="138" w:firstLine="0"/>
        <w:jc w:val="left"/>
        <w:rPr>
          <w:rFonts w:ascii="PMingLiU" w:eastAsia="PMingLiU" w:hint="eastAsia"/>
          <w:sz w:val="26"/>
        </w:rPr>
      </w:pPr>
      <w:r>
        <w:rPr/>
        <w:drawing>
          <wp:anchor distT="0" distB="0" distL="0" distR="0" allowOverlap="1" layoutInCell="1" locked="0" behindDoc="1" simplePos="0" relativeHeight="268411535">
            <wp:simplePos x="0" y="0"/>
            <wp:positionH relativeFrom="page">
              <wp:posOffset>0</wp:posOffset>
            </wp:positionH>
            <wp:positionV relativeFrom="page">
              <wp:posOffset>45084</wp:posOffset>
            </wp:positionV>
            <wp:extent cx="12109335" cy="17150715"/>
            <wp:effectExtent l="0" t="0" r="0" b="0"/>
            <wp:wrapNone/>
            <wp:docPr id="2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9335" cy="1715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</w:rPr>
        <w:t>广东腾越建筑工程有限公司</w:t>
        <w:tab/>
      </w:r>
      <w:r>
        <w:rPr>
          <w:rFonts w:ascii="PMingLiU" w:eastAsia="PMingLiU" w:hint="eastAsia"/>
          <w:sz w:val="26"/>
        </w:rPr>
        <w:t>容县碧桂园一期住宅工法样板施工方案</w:t>
      </w:r>
    </w:p>
    <w:p>
      <w:pPr>
        <w:pStyle w:val="BodyText"/>
        <w:tabs>
          <w:tab w:pos="5619" w:val="left" w:leader="none"/>
        </w:tabs>
        <w:spacing w:line="372" w:lineRule="auto" w:before="47"/>
        <w:ind w:left="100" w:right="898"/>
      </w:pPr>
      <w:r>
        <w:rPr/>
        <w:t>度宜为</w:t>
      </w:r>
      <w:r>
        <w:rPr>
          <w:spacing w:val="60"/>
        </w:rPr>
        <w:t> </w:t>
      </w:r>
      <w:r>
        <w:rPr>
          <w:rFonts w:ascii="Arial" w:hAnsi="Arial" w:eastAsia="Arial"/>
          <w:spacing w:val="-1"/>
        </w:rPr>
        <w:t>160-180m</w:t>
      </w:r>
      <w:r>
        <w:rPr>
          <w:rFonts w:ascii="Arial" w:hAnsi="Arial" w:eastAsia="Arial"/>
          <w:spacing w:val="-181"/>
        </w:rPr>
        <w:t>m</w:t>
      </w:r>
      <w:r>
        <w:rPr/>
        <w:t>，倾斜角度在</w:t>
        <w:tab/>
      </w:r>
      <w:r>
        <w:rPr>
          <w:rFonts w:ascii="Arial" w:hAnsi="Arial" w:eastAsia="Arial"/>
          <w:spacing w:val="-1"/>
        </w:rPr>
        <w:t>4</w:t>
      </w:r>
      <w:r>
        <w:rPr>
          <w:rFonts w:ascii="Arial" w:hAnsi="Arial" w:eastAsia="Arial"/>
          <w:spacing w:val="-21"/>
        </w:rPr>
        <w:t>5</w:t>
      </w:r>
      <w:r>
        <w:rPr/>
        <w:t>°</w:t>
      </w:r>
      <w:r>
        <w:rPr>
          <w:spacing w:val="-140"/>
        </w:rPr>
        <w:t> </w:t>
      </w:r>
      <w:r>
        <w:rPr>
          <w:rFonts w:ascii="Arial" w:hAnsi="Arial" w:eastAsia="Arial"/>
        </w:rPr>
        <w:t>~</w:t>
      </w:r>
      <w:r>
        <w:rPr>
          <w:rFonts w:ascii="Arial" w:hAnsi="Arial" w:eastAsia="Arial"/>
          <w:spacing w:val="-1"/>
        </w:rPr>
        <w:t>6</w:t>
      </w:r>
      <w:r>
        <w:rPr>
          <w:rFonts w:ascii="Arial" w:hAnsi="Arial" w:eastAsia="Arial"/>
          <w:spacing w:val="-31"/>
        </w:rPr>
        <w:t>0</w:t>
      </w:r>
      <w:r>
        <w:rPr/>
        <w:t>°之间，“倒八字”砌筑，采用三角形混凝土 预制块收口，顶砖砌筑完成后砂浆双面勾缝，保证顶砖砂浆饱满，防止梁底通长裂缝的 出现。</w:t>
      </w:r>
    </w:p>
    <w:p>
      <w:pPr>
        <w:pStyle w:val="BodyText"/>
        <w:spacing w:before="71"/>
        <w:ind w:left="880" w:right="138"/>
      </w:pPr>
      <w:r>
        <w:rPr/>
        <w:t>（</w:t>
      </w:r>
      <w:r>
        <w:rPr>
          <w:rFonts w:ascii="Arial" w:eastAsia="Arial"/>
        </w:rPr>
        <w:t>2) </w:t>
      </w:r>
      <w:r>
        <w:rPr/>
        <w:t>有代表性的部位的砌体的砌筑方法；</w:t>
      </w:r>
    </w:p>
    <w:p>
      <w:pPr>
        <w:pStyle w:val="BodyText"/>
        <w:tabs>
          <w:tab w:pos="4879" w:val="left" w:leader="none"/>
          <w:tab w:pos="9859" w:val="left" w:leader="none"/>
        </w:tabs>
        <w:spacing w:line="362" w:lineRule="auto" w:before="263"/>
        <w:ind w:left="100" w:right="638" w:firstLine="1160"/>
      </w:pPr>
      <w:r>
        <w:rPr/>
        <w:t>①宽度超过 </w:t>
      </w:r>
      <w:r>
        <w:rPr>
          <w:rFonts w:ascii="Arial" w:hAnsi="Arial" w:eastAsia="Arial"/>
          <w:spacing w:val="-4"/>
        </w:rPr>
        <w:t>300mm</w:t>
      </w:r>
      <w:r>
        <w:rPr>
          <w:spacing w:val="-4"/>
        </w:rPr>
        <w:t>的洞口上部，应设置过梁。防止上部墙体荷载施加在电箱上， </w:t>
      </w:r>
      <w:r>
        <w:rPr/>
        <w:t>导致电箱变形，过梁尺寸为</w:t>
        <w:tab/>
      </w:r>
      <w:r>
        <w:rPr>
          <w:rFonts w:ascii="Arial" w:hAnsi="Arial" w:eastAsia="Arial"/>
          <w:spacing w:val="-1"/>
        </w:rPr>
        <w:t>100m</w:t>
      </w:r>
      <w:r>
        <w:rPr>
          <w:rFonts w:ascii="Arial" w:hAnsi="Arial" w:eastAsia="Arial"/>
          <w:spacing w:val="-221"/>
        </w:rPr>
        <w:t>m</w:t>
      </w:r>
      <w:r>
        <w:rPr/>
        <w:t>，中间留设凹形穿线口</w:t>
        <w:tab/>
      </w:r>
      <w:r>
        <w:rPr>
          <w:rFonts w:ascii="Arial" w:hAnsi="Arial" w:eastAsia="Arial"/>
          <w:spacing w:val="-1"/>
        </w:rPr>
        <w:t>150m</w:t>
      </w:r>
      <w:r>
        <w:rPr>
          <w:rFonts w:ascii="Arial" w:hAnsi="Arial" w:eastAsia="Arial"/>
          <w:spacing w:val="-221"/>
        </w:rPr>
        <w:t>m</w:t>
      </w:r>
      <w:r>
        <w:rPr/>
        <w:t>，电线背部使用烧结页 岩实心砖砌筑。</w:t>
      </w:r>
    </w:p>
    <w:p>
      <w:pPr>
        <w:pStyle w:val="BodyText"/>
        <w:spacing w:before="85"/>
        <w:ind w:left="880" w:right="138"/>
      </w:pPr>
      <w:r>
        <w:rPr/>
        <w:t>（</w:t>
      </w:r>
      <w:r>
        <w:rPr>
          <w:rFonts w:ascii="Arial" w:eastAsia="Arial"/>
        </w:rPr>
        <w:t>3) </w:t>
      </w:r>
      <w:r>
        <w:rPr/>
        <w:t>有代表性的门窗洞口的处理；</w:t>
      </w:r>
    </w:p>
    <w:p>
      <w:pPr>
        <w:pStyle w:val="BodyText"/>
        <w:tabs>
          <w:tab w:pos="9659" w:val="left" w:leader="none"/>
        </w:tabs>
        <w:spacing w:line="362" w:lineRule="auto" w:before="263"/>
        <w:ind w:left="100" w:right="658" w:firstLine="1160"/>
      </w:pPr>
      <w:r>
        <w:rPr/>
        <w:t>①金属门窗框和副框必须牢靠。预埋件上下两端</w:t>
        <w:tab/>
      </w:r>
      <w:r>
        <w:rPr>
          <w:rFonts w:ascii="Arial" w:hAnsi="Arial" w:eastAsia="Arial"/>
          <w:spacing w:val="-3"/>
        </w:rPr>
        <w:t>200mm</w:t>
      </w:r>
      <w:r>
        <w:rPr>
          <w:spacing w:val="-3"/>
        </w:rPr>
        <w:t>安装第一道，中间每隔 </w:t>
      </w:r>
      <w:r>
        <w:rPr>
          <w:rFonts w:ascii="Arial" w:hAnsi="Arial" w:eastAsia="Arial"/>
          <w:spacing w:val="-4"/>
        </w:rPr>
        <w:t>500mm</w:t>
      </w:r>
      <w:r>
        <w:rPr>
          <w:spacing w:val="-4"/>
        </w:rPr>
        <w:t>安装一道预埋件。采用预制混凝土块补槎，便于门窗安装的固定，不允许预埋件 </w:t>
      </w:r>
      <w:r>
        <w:rPr/>
        <w:t>固定在蒸压加气砖上，保证门窗的稳定性。</w:t>
      </w:r>
    </w:p>
    <w:p>
      <w:pPr>
        <w:pStyle w:val="BodyText"/>
        <w:tabs>
          <w:tab w:pos="6779" w:val="left" w:leader="none"/>
          <w:tab w:pos="10939" w:val="left" w:leader="none"/>
        </w:tabs>
        <w:spacing w:line="362" w:lineRule="auto" w:before="105"/>
        <w:ind w:left="100" w:right="138" w:firstLine="1160"/>
      </w:pPr>
      <w:r>
        <w:rPr/>
        <w:t>②窗台压顶两端的嵌固长度应为</w:t>
        <w:tab/>
      </w:r>
      <w:r>
        <w:rPr>
          <w:rFonts w:ascii="Arial" w:hAnsi="Arial" w:eastAsia="Arial"/>
          <w:spacing w:val="-1"/>
        </w:rPr>
        <w:t>300m</w:t>
      </w:r>
      <w:r>
        <w:rPr>
          <w:rFonts w:ascii="Arial" w:hAnsi="Arial" w:eastAsia="Arial"/>
          <w:spacing w:val="-241"/>
        </w:rPr>
        <w:t>m</w:t>
      </w:r>
      <w:r>
        <w:rPr/>
        <w:t>；窗台压顶高度为</w:t>
        <w:tab/>
      </w:r>
      <w:r>
        <w:rPr>
          <w:rFonts w:ascii="Arial" w:hAnsi="Arial" w:eastAsia="Arial"/>
          <w:spacing w:val="-1"/>
        </w:rPr>
        <w:t>100m</w:t>
      </w:r>
      <w:r>
        <w:rPr>
          <w:rFonts w:ascii="Arial" w:hAnsi="Arial" w:eastAsia="Arial"/>
          <w:spacing w:val="-241"/>
        </w:rPr>
        <w:t>m</w:t>
      </w:r>
      <w:r>
        <w:rPr/>
        <w:t>，内侧做个</w:t>
      </w:r>
      <w:r>
        <w:rPr>
          <w:spacing w:val="60"/>
        </w:rPr>
        <w:t> </w:t>
      </w:r>
      <w:r>
        <w:rPr>
          <w:rFonts w:ascii="Arial" w:hAnsi="Arial" w:eastAsia="Arial"/>
          <w:spacing w:val="-1"/>
        </w:rPr>
        <w:t>50mm </w:t>
      </w:r>
      <w:r>
        <w:rPr/>
        <w:t>宽</w:t>
      </w:r>
      <w:r>
        <w:rPr>
          <w:spacing w:val="20"/>
        </w:rPr>
        <w:t>，</w:t>
      </w:r>
      <w:r>
        <w:rPr>
          <w:rFonts w:ascii="Arial" w:hAnsi="Arial" w:eastAsia="Arial"/>
          <w:spacing w:val="-1"/>
        </w:rPr>
        <w:t>20m</w:t>
      </w:r>
      <w:r>
        <w:rPr>
          <w:rFonts w:ascii="Arial" w:hAnsi="Arial" w:eastAsia="Arial"/>
          <w:spacing w:val="-140"/>
        </w:rPr>
        <w:t>m</w:t>
      </w:r>
      <w:r>
        <w:rPr/>
        <w:t>高的反边，砌体砌筑到窗台压顶处停止，先浇捣窗台压顶过梁，保证有足够的 锚固长度后，再砌上部结构。</w:t>
      </w:r>
    </w:p>
    <w:p>
      <w:pPr>
        <w:pStyle w:val="BodyText"/>
        <w:tabs>
          <w:tab w:pos="6639" w:val="left" w:leader="none"/>
        </w:tabs>
        <w:spacing w:line="362" w:lineRule="auto" w:before="85"/>
        <w:ind w:left="100" w:right="838" w:firstLine="1160"/>
      </w:pPr>
      <w:r>
        <w:rPr/>
        <w:t>③外窗台必须向外找坡，坡度＞</w:t>
        <w:tab/>
      </w:r>
      <w:r>
        <w:rPr>
          <w:rFonts w:ascii="Arial" w:hAnsi="Arial" w:eastAsia="Arial"/>
          <w:spacing w:val="-6"/>
        </w:rPr>
        <w:t>6%</w:t>
      </w:r>
      <w:r>
        <w:rPr>
          <w:spacing w:val="-6"/>
        </w:rPr>
        <w:t>，防止窗台渗水应距窗角、中横框、中竖框边 </w:t>
      </w:r>
      <w:r>
        <w:rPr>
          <w:rFonts w:ascii="Arial" w:hAnsi="Arial" w:eastAsia="Arial"/>
          <w:spacing w:val="-1"/>
        </w:rPr>
        <w:t>150~200m</w:t>
      </w:r>
      <w:r>
        <w:rPr>
          <w:rFonts w:ascii="Arial" w:hAnsi="Arial" w:eastAsia="Arial"/>
          <w:spacing w:val="-171"/>
        </w:rPr>
        <w:t>m</w:t>
      </w:r>
      <w:r>
        <w:rPr/>
        <w:t>填塞防水水泥砂浆，防水水泥砂浆必须填塞密实，不空鼓开裂，不形成渗水 通道。</w:t>
      </w:r>
    </w:p>
    <w:p>
      <w:pPr>
        <w:pStyle w:val="BodyText"/>
        <w:tabs>
          <w:tab w:pos="8899" w:val="left" w:leader="none"/>
        </w:tabs>
        <w:spacing w:line="376" w:lineRule="auto" w:before="105"/>
        <w:ind w:left="100" w:right="778" w:firstLine="1160"/>
      </w:pPr>
      <w:r>
        <w:rPr/>
        <w:t>④外框与水泥砂浆接触面需要打硅酮结构胶，</w:t>
        <w:tab/>
        <w:t>硅酮结构胶必须与窗框颜色相同或 相近（设计另有说明除外），打胶前需要在打胶两侧先贴美纹纸，保证打胶顺直。</w:t>
      </w:r>
    </w:p>
    <w:p>
      <w:pPr>
        <w:pStyle w:val="BodyText"/>
        <w:tabs>
          <w:tab w:pos="1839" w:val="left" w:leader="none"/>
        </w:tabs>
        <w:spacing w:before="103"/>
        <w:ind w:left="880" w:right="138"/>
      </w:pPr>
      <w:r>
        <w:rPr>
          <w:spacing w:val="6"/>
        </w:rPr>
        <w:t>（</w:t>
      </w:r>
      <w:r>
        <w:rPr>
          <w:rFonts w:ascii="Arial" w:eastAsia="Arial"/>
          <w:spacing w:val="6"/>
        </w:rPr>
        <w:t>4)</w:t>
        <w:tab/>
      </w:r>
      <w:r>
        <w:rPr/>
        <w:t>构造柱、圈梁、过梁的处理</w:t>
      </w:r>
    </w:p>
    <w:p>
      <w:pPr>
        <w:pStyle w:val="BodyText"/>
        <w:tabs>
          <w:tab w:pos="8019" w:val="left" w:leader="none"/>
        </w:tabs>
        <w:spacing w:line="367" w:lineRule="auto" w:before="243"/>
        <w:ind w:left="100" w:right="117" w:firstLine="1160"/>
      </w:pPr>
      <w:r>
        <w:rPr/>
        <w:t>①构造柱与墙体的连接处应砌成马牙搓，</w:t>
        <w:tab/>
        <w:t>先退后进按要求施工，</w:t>
      </w:r>
      <w:r>
        <w:rPr>
          <w:spacing w:val="-82"/>
        </w:rPr>
        <w:t> </w:t>
      </w:r>
      <w:r>
        <w:rPr/>
        <w:t>并沿墙高每</w:t>
      </w:r>
      <w:r>
        <w:rPr>
          <w:spacing w:val="56"/>
        </w:rPr>
        <w:t> </w:t>
      </w:r>
      <w:r>
        <w:rPr>
          <w:rFonts w:ascii="Arial" w:hAnsi="Arial" w:eastAsia="Arial"/>
        </w:rPr>
        <w:t>500mm</w:t>
      </w:r>
      <w:r>
        <w:rPr>
          <w:rFonts w:ascii="Arial" w:hAnsi="Arial" w:eastAsia="Arial"/>
          <w:spacing w:val="-1"/>
        </w:rPr>
        <w:t> </w:t>
      </w:r>
      <w:r>
        <w:rPr/>
        <w:t>设置 </w:t>
      </w:r>
      <w:r>
        <w:rPr>
          <w:rFonts w:ascii="Arial" w:hAnsi="Arial" w:eastAsia="Arial"/>
        </w:rPr>
        <w:t>2 </w:t>
      </w:r>
      <w:r>
        <w:rPr/>
        <w:t>根 </w:t>
      </w:r>
      <w:r>
        <w:rPr>
          <w:spacing w:val="10"/>
        </w:rPr>
        <w:t>φ</w:t>
      </w:r>
      <w:r>
        <w:rPr>
          <w:rFonts w:ascii="Arial" w:hAnsi="Arial" w:eastAsia="Arial"/>
          <w:spacing w:val="10"/>
        </w:rPr>
        <w:t>6 </w:t>
      </w:r>
      <w:r>
        <w:rPr/>
        <w:t>的拉结筋。构造柱的配筋应符合设计要求。保证墙面的整体性、稳定性， 防止抹灰层开裂</w:t>
      </w:r>
    </w:p>
    <w:p>
      <w:pPr>
        <w:pStyle w:val="BodyText"/>
        <w:spacing w:before="78"/>
        <w:ind w:left="880" w:right="138"/>
      </w:pPr>
      <w:r>
        <w:rPr/>
        <w:t>（</w:t>
      </w:r>
      <w:r>
        <w:rPr>
          <w:rFonts w:ascii="Arial" w:eastAsia="Arial"/>
        </w:rPr>
        <w:t>5</w:t>
      </w:r>
      <w:r>
        <w:rPr/>
        <w:t>） 抹灰工程</w:t>
      </w:r>
    </w:p>
    <w:p>
      <w:pPr>
        <w:pStyle w:val="BodyText"/>
        <w:spacing w:line="381" w:lineRule="auto" w:before="263"/>
        <w:ind w:left="100" w:right="1218" w:firstLine="1160"/>
        <w:jc w:val="both"/>
      </w:pPr>
      <w:r>
        <w:rPr/>
        <w:t>①抹灰层与基层之间及各抹灰层之间必须粘结牢固，抹灰层应无脱层、空鼓，面 层应无爆灰和裂缝。抹灰施工工艺工序样板，防止抹灰面空鼓、开裂，增强抹灰整体观 感质量。</w:t>
      </w:r>
    </w:p>
    <w:p>
      <w:pPr>
        <w:pStyle w:val="BodyText"/>
        <w:tabs>
          <w:tab w:pos="6759" w:val="left" w:leader="none"/>
        </w:tabs>
        <w:spacing w:before="56"/>
        <w:ind w:left="1260" w:right="138"/>
      </w:pPr>
      <w:r>
        <w:rPr/>
        <w:t>②抗碱玻纤网的搭接宽度不小于</w:t>
        <w:tab/>
      </w:r>
      <w:r>
        <w:rPr>
          <w:rFonts w:ascii="Arial" w:hAnsi="Arial" w:eastAsia="Arial"/>
          <w:spacing w:val="-1"/>
        </w:rPr>
        <w:t>100m</w:t>
      </w:r>
      <w:r>
        <w:rPr>
          <w:rFonts w:ascii="Arial" w:hAnsi="Arial" w:eastAsia="Arial"/>
          <w:spacing w:val="-241"/>
        </w:rPr>
        <w:t>m</w:t>
      </w:r>
      <w:r>
        <w:rPr/>
        <w:t>，防止墙面开裂渗漏。</w:t>
      </w:r>
    </w:p>
    <w:p>
      <w:pPr>
        <w:pStyle w:val="BodyText"/>
        <w:tabs>
          <w:tab w:pos="8019" w:val="left" w:leader="none"/>
          <w:tab w:pos="10839" w:val="left" w:leader="none"/>
        </w:tabs>
        <w:spacing w:line="367" w:lineRule="auto" w:before="263"/>
        <w:ind w:left="100" w:right="598" w:firstLine="1160"/>
      </w:pPr>
      <w:r>
        <w:rPr/>
        <w:t>③抹灰工艺较好、各面色泽基本一致；</w:t>
        <w:tab/>
        <w:t>阴阳角方正小于</w:t>
        <w:tab/>
      </w:r>
      <w:r>
        <w:rPr>
          <w:rFonts w:ascii="Arial" w:hAnsi="Arial" w:eastAsia="Arial"/>
        </w:rPr>
        <w:t>4 </w:t>
      </w:r>
      <w:r>
        <w:rPr>
          <w:rFonts w:ascii="Arial" w:hAnsi="Arial" w:eastAsia="Arial"/>
          <w:spacing w:val="-14"/>
        </w:rPr>
        <w:t>mm</w:t>
      </w:r>
      <w:r>
        <w:rPr>
          <w:spacing w:val="-14"/>
        </w:rPr>
        <w:t>，墙面垂直度、平</w:t>
      </w:r>
      <w:r>
        <w:rPr/>
        <w:t> 整度均小于 </w:t>
      </w:r>
      <w:r>
        <w:rPr>
          <w:rFonts w:ascii="Arial" w:hAnsi="Arial" w:eastAsia="Arial"/>
        </w:rPr>
        <w:t>4</w:t>
      </w:r>
      <w:r>
        <w:rPr>
          <w:rFonts w:ascii="Arial" w:hAnsi="Arial" w:eastAsia="Arial"/>
          <w:spacing w:val="44"/>
        </w:rPr>
        <w:t> </w:t>
      </w:r>
      <w:r>
        <w:rPr>
          <w:rFonts w:ascii="Arial" w:hAnsi="Arial" w:eastAsia="Arial"/>
          <w:spacing w:val="-4"/>
        </w:rPr>
        <w:t>mm</w:t>
      </w:r>
      <w:r>
        <w:rPr>
          <w:spacing w:val="-4"/>
        </w:rPr>
        <w:t>；无空鼓、龟裂、水平裂缝，无修补疤疾；细拉毛面，观感较好。</w:t>
      </w:r>
    </w:p>
    <w:p>
      <w:pPr>
        <w:spacing w:before="46"/>
        <w:ind w:left="7058" w:right="7186" w:firstLine="0"/>
        <w:jc w:val="center"/>
        <w:rPr>
          <w:rFonts w:ascii="Arial"/>
          <w:b/>
          <w:sz w:val="26"/>
        </w:rPr>
      </w:pPr>
      <w:r>
        <w:rPr>
          <w:rFonts w:ascii="Arial"/>
          <w:b/>
          <w:sz w:val="26"/>
        </w:rPr>
        <w:t>11 </w:t>
      </w:r>
      <w:r>
        <w:rPr>
          <w:rFonts w:ascii="Arial"/>
          <w:sz w:val="26"/>
        </w:rPr>
        <w:t>/ </w:t>
      </w:r>
      <w:r>
        <w:rPr>
          <w:rFonts w:ascii="Arial"/>
          <w:b/>
          <w:sz w:val="26"/>
        </w:rPr>
        <w:t>12</w:t>
      </w:r>
    </w:p>
    <w:p>
      <w:pPr>
        <w:spacing w:after="0"/>
        <w:jc w:val="center"/>
        <w:rPr>
          <w:rFonts w:ascii="Arial"/>
          <w:sz w:val="26"/>
        </w:rPr>
        <w:sectPr>
          <w:pgSz w:w="19120" w:h="27080"/>
          <w:pgMar w:top="1940" w:bottom="280" w:left="2160" w:right="1880"/>
        </w:sectPr>
      </w:pPr>
    </w:p>
    <w:p>
      <w:pPr>
        <w:tabs>
          <w:tab w:pos="10379" w:val="left" w:leader="none"/>
        </w:tabs>
        <w:spacing w:line="352" w:lineRule="exact" w:before="0"/>
        <w:ind w:left="1520" w:right="0" w:firstLine="0"/>
        <w:jc w:val="left"/>
        <w:rPr>
          <w:rFonts w:ascii="PMingLiU" w:eastAsia="PMingLiU" w:hint="eastAsia"/>
          <w:sz w:val="26"/>
        </w:rPr>
      </w:pPr>
      <w:r>
        <w:rPr/>
        <w:drawing>
          <wp:anchor distT="0" distB="0" distL="0" distR="0" allowOverlap="1" layoutInCell="1" locked="0" behindDoc="1" simplePos="0" relativeHeight="268411559">
            <wp:simplePos x="0" y="0"/>
            <wp:positionH relativeFrom="page">
              <wp:posOffset>0</wp:posOffset>
            </wp:positionH>
            <wp:positionV relativeFrom="page">
              <wp:posOffset>45084</wp:posOffset>
            </wp:positionV>
            <wp:extent cx="12109335" cy="17150715"/>
            <wp:effectExtent l="0" t="0" r="0" b="0"/>
            <wp:wrapNone/>
            <wp:docPr id="23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9335" cy="1715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</w:rPr>
        <w:t>广东腾越建筑工程有限公司</w:t>
        <w:tab/>
      </w:r>
      <w:r>
        <w:rPr>
          <w:rFonts w:ascii="PMingLiU" w:eastAsia="PMingLiU" w:hint="eastAsia"/>
          <w:sz w:val="26"/>
        </w:rPr>
        <w:t>容县碧桂园一期住宅工法样板施工方案</w:t>
      </w:r>
    </w:p>
    <w:p>
      <w:pPr>
        <w:pStyle w:val="BodyText"/>
        <w:spacing w:before="47"/>
        <w:ind w:left="880"/>
      </w:pPr>
      <w:r>
        <w:rPr>
          <w:rFonts w:ascii="Arial" w:eastAsia="Arial"/>
        </w:rPr>
        <w:t>(6) </w:t>
      </w:r>
      <w:r>
        <w:rPr/>
        <w:t>电气工程</w:t>
      </w:r>
    </w:p>
    <w:p>
      <w:pPr>
        <w:pStyle w:val="BodyText"/>
        <w:tabs>
          <w:tab w:pos="3359" w:val="left" w:leader="none"/>
          <w:tab w:pos="4199" w:val="left" w:leader="none"/>
          <w:tab w:pos="5079" w:val="left" w:leader="none"/>
          <w:tab w:pos="8479" w:val="left" w:leader="none"/>
          <w:tab w:pos="12759" w:val="left" w:leader="none"/>
        </w:tabs>
        <w:spacing w:line="367" w:lineRule="auto" w:before="243"/>
        <w:ind w:left="100" w:right="478" w:firstLine="1160"/>
      </w:pPr>
      <w:r>
        <w:rPr/>
        <w:t>①预埋管、</w:t>
        <w:tab/>
        <w:t>线槽处，</w:t>
        <w:tab/>
        <w:t>必须用</w:t>
      </w:r>
      <w:r>
        <w:rPr>
          <w:spacing w:val="-1"/>
        </w:rPr>
        <w:t> </w:t>
      </w:r>
      <w:r>
        <w:rPr>
          <w:rFonts w:ascii="Arial" w:hAnsi="Arial" w:eastAsia="Arial"/>
        </w:rPr>
        <w:t>1</w:t>
      </w:r>
      <w:r>
        <w:rPr/>
        <w:t>：</w:t>
      </w:r>
      <w:r>
        <w:rPr>
          <w:rFonts w:ascii="Arial" w:hAnsi="Arial" w:eastAsia="Arial"/>
        </w:rPr>
        <w:t>3</w:t>
      </w:r>
      <w:r>
        <w:rPr>
          <w:rFonts w:ascii="Arial" w:hAnsi="Arial" w:eastAsia="Arial"/>
          <w:spacing w:val="-22"/>
        </w:rPr>
        <w:t> </w:t>
      </w:r>
      <w:r>
        <w:rPr/>
        <w:t>水泥砂浆分两次挂网抹压密实；</w:t>
        <w:tab/>
        <w:t>对于有三根 以上预埋管线的线槽，</w:t>
        <w:tab/>
        <w:t>用</w:t>
      </w:r>
      <w:r>
        <w:rPr>
          <w:spacing w:val="39"/>
        </w:rPr>
        <w:t> </w:t>
      </w:r>
      <w:r>
        <w:rPr>
          <w:rFonts w:ascii="Arial" w:hAnsi="Arial" w:eastAsia="Arial"/>
        </w:rPr>
        <w:t>C20</w:t>
      </w:r>
      <w:r>
        <w:rPr>
          <w:rFonts w:ascii="Arial" w:hAnsi="Arial" w:eastAsia="Arial"/>
          <w:spacing w:val="18"/>
        </w:rPr>
        <w:t> </w:t>
      </w:r>
      <w:r>
        <w:rPr/>
        <w:t>细石砼灌实后，</w:t>
        <w:tab/>
        <w:t>再铺挂镀锌钢丝网片（管槽两侧各压</w:t>
      </w:r>
    </w:p>
    <w:p>
      <w:pPr>
        <w:pStyle w:val="BodyText"/>
        <w:tabs>
          <w:tab w:pos="1619" w:val="left" w:leader="none"/>
        </w:tabs>
        <w:spacing w:before="30"/>
        <w:ind w:left="100"/>
      </w:pPr>
      <w:r>
        <w:rPr>
          <w:rFonts w:ascii="Arial" w:eastAsia="Arial"/>
          <w:spacing w:val="-1"/>
        </w:rPr>
        <w:t>150m</w:t>
      </w:r>
      <w:r>
        <w:rPr>
          <w:rFonts w:ascii="Arial" w:eastAsia="Arial"/>
          <w:spacing w:val="-41"/>
        </w:rPr>
        <w:t>m</w:t>
      </w:r>
      <w:r>
        <w:rPr>
          <w:spacing w:val="-321"/>
        </w:rPr>
        <w:t>抹</w:t>
      </w:r>
      <w:r>
        <w:rPr>
          <w:rFonts w:ascii="Arial" w:eastAsia="Arial"/>
        </w:rPr>
        <w:t>)</w:t>
        <w:tab/>
      </w:r>
      <w:r>
        <w:rPr/>
        <w:t>灰。</w:t>
      </w:r>
    </w:p>
    <w:p>
      <w:pPr>
        <w:pStyle w:val="BodyText"/>
        <w:spacing w:before="12"/>
        <w:rPr>
          <w:sz w:val="20"/>
        </w:rPr>
      </w:pPr>
    </w:p>
    <w:p>
      <w:pPr>
        <w:pStyle w:val="BodyText"/>
        <w:spacing w:line="376" w:lineRule="auto"/>
        <w:ind w:left="100" w:right="1160" w:firstLine="1160"/>
      </w:pPr>
      <w:r>
        <w:rPr/>
        <w:t>②机电开槽深度、宽度合理，保证墙体的稳定性，一次性收口美观，有防止墙面 开裂的有效措施</w:t>
      </w:r>
    </w:p>
    <w:p>
      <w:pPr>
        <w:pStyle w:val="BodyText"/>
        <w:spacing w:before="83"/>
        <w:ind w:left="100"/>
      </w:pPr>
      <w:r>
        <w:rPr>
          <w:rFonts w:ascii="Arial" w:eastAsia="Arial"/>
        </w:rPr>
        <w:t>6.6</w:t>
      </w:r>
      <w:r>
        <w:rPr>
          <w:rFonts w:ascii="Arial" w:eastAsia="Arial"/>
          <w:spacing w:val="97"/>
        </w:rPr>
        <w:t> </w:t>
      </w:r>
      <w:r>
        <w:rPr/>
        <w:t>屋面工程</w:t>
      </w:r>
    </w:p>
    <w:p>
      <w:pPr>
        <w:pStyle w:val="BodyText"/>
        <w:tabs>
          <w:tab w:pos="5419" w:val="left" w:leader="none"/>
          <w:tab w:pos="7539" w:val="left" w:leader="none"/>
          <w:tab w:pos="9379" w:val="left" w:leader="none"/>
          <w:tab w:pos="11519" w:val="left" w:leader="none"/>
          <w:tab w:pos="13719" w:val="left" w:leader="none"/>
        </w:tabs>
        <w:spacing w:line="367" w:lineRule="auto" w:before="243"/>
        <w:ind w:left="100" w:right="117" w:firstLine="780"/>
      </w:pPr>
      <w:r>
        <w:rPr>
          <w:spacing w:val="20"/>
        </w:rPr>
        <w:t>（</w:t>
      </w:r>
      <w:r>
        <w:rPr>
          <w:rFonts w:ascii="Arial" w:hAnsi="Arial" w:eastAsia="Arial"/>
          <w:spacing w:val="-1"/>
        </w:rPr>
        <w:t>1</w:t>
      </w:r>
      <w:r>
        <w:rPr>
          <w:spacing w:val="-180"/>
        </w:rPr>
        <w:t>）</w:t>
      </w:r>
      <w:r>
        <w:rPr/>
        <w:t>低矮坡屋面歇山、</w:t>
      </w:r>
      <w:r>
        <w:rPr>
          <w:spacing w:val="-140"/>
        </w:rPr>
        <w:t> </w:t>
      </w:r>
      <w:r>
        <w:rPr/>
        <w:t>顶部与竖向墙体交接处根部</w:t>
        <w:tab/>
      </w:r>
      <w:r>
        <w:rPr>
          <w:w w:val="11"/>
        </w:rPr>
        <w:t> </w:t>
      </w:r>
      <w:r>
        <w:rPr/>
        <w:t>从坡屋面结构板面上设置</w:t>
        <w:tab/>
      </w:r>
      <w:r>
        <w:rPr>
          <w:rFonts w:ascii="Arial" w:hAnsi="Arial" w:eastAsia="Arial"/>
          <w:spacing w:val="-1"/>
        </w:rPr>
        <w:t>300mm </w:t>
      </w:r>
      <w:r>
        <w:rPr/>
        <w:t>砼翻边；斜屋面檐口、歇山翻边</w:t>
        <w:tab/>
      </w:r>
      <w:r>
        <w:rPr>
          <w:rFonts w:ascii="Arial" w:hAnsi="Arial" w:eastAsia="Arial"/>
        </w:rPr>
        <w:t>(</w:t>
      </w:r>
      <w:r>
        <w:rPr>
          <w:rFonts w:ascii="Arial" w:hAnsi="Arial" w:eastAsia="Arial"/>
          <w:spacing w:val="-20"/>
        </w:rPr>
        <w:t> </w:t>
      </w:r>
      <w:r>
        <w:rPr/>
        <w:t>宽</w:t>
      </w:r>
      <w:r>
        <w:rPr>
          <w:spacing w:val="-40"/>
        </w:rPr>
        <w:t> </w:t>
      </w:r>
      <w:r>
        <w:rPr>
          <w:rFonts w:ascii="Arial" w:hAnsi="Arial" w:eastAsia="Arial"/>
          <w:spacing w:val="-1"/>
        </w:rPr>
        <w:t>15</w:t>
      </w:r>
      <w:r>
        <w:rPr>
          <w:rFonts w:ascii="Arial" w:hAnsi="Arial" w:eastAsia="Arial"/>
        </w:rPr>
        <w:t>0</w:t>
      </w:r>
      <w:r>
        <w:rPr>
          <w:rFonts w:ascii="Arial" w:hAnsi="Arial" w:eastAsia="Arial"/>
          <w:spacing w:val="-41"/>
        </w:rPr>
        <w:t> </w:t>
      </w:r>
      <w:r>
        <w:rPr>
          <w:spacing w:val="20"/>
        </w:rPr>
        <w:t>㎜</w:t>
      </w:r>
      <w:r>
        <w:rPr>
          <w:rFonts w:ascii="Arial" w:hAnsi="Arial" w:eastAsia="Arial"/>
        </w:rPr>
        <w:t>)</w:t>
        <w:tab/>
      </w:r>
      <w:r>
        <w:rPr/>
        <w:t>从斜屋面结构板上设置</w:t>
        <w:tab/>
      </w:r>
      <w:r>
        <w:rPr>
          <w:rFonts w:ascii="Arial" w:hAnsi="Arial" w:eastAsia="Arial"/>
          <w:spacing w:val="-1"/>
        </w:rPr>
        <w:t>100~150m</w:t>
      </w:r>
      <w:r>
        <w:rPr>
          <w:rFonts w:ascii="Arial" w:hAnsi="Arial" w:eastAsia="Arial"/>
          <w:spacing w:val="-191"/>
        </w:rPr>
        <w:t>m</w:t>
      </w:r>
      <w:r>
        <w:rPr/>
        <w:t>砼翻边， 以上砼翻边均与墙同宽。所有翻边均按构造要求配筋：</w:t>
        <w:tab/>
      </w:r>
      <w:r>
        <w:rPr>
          <w:spacing w:val="2"/>
        </w:rPr>
        <w:t>φ</w:t>
      </w:r>
      <w:r>
        <w:rPr>
          <w:rFonts w:ascii="Arial" w:hAnsi="Arial" w:eastAsia="Arial"/>
          <w:spacing w:val="2"/>
        </w:rPr>
        <w:t>6</w:t>
      </w:r>
      <w:r>
        <w:rPr>
          <w:spacing w:val="2"/>
        </w:rPr>
        <w:t>＠</w:t>
      </w:r>
      <w:r>
        <w:rPr>
          <w:rFonts w:ascii="Arial" w:hAnsi="Arial" w:eastAsia="Arial"/>
          <w:spacing w:val="2"/>
        </w:rPr>
        <w:t>300</w:t>
      </w:r>
      <w:r>
        <w:rPr>
          <w:spacing w:val="2"/>
        </w:rPr>
        <w:t>，</w:t>
      </w:r>
      <w:r>
        <w:rPr>
          <w:rFonts w:ascii="Arial" w:hAnsi="Arial" w:eastAsia="Arial"/>
          <w:spacing w:val="2"/>
        </w:rPr>
        <w:t>2</w:t>
      </w:r>
      <w:r>
        <w:rPr>
          <w:spacing w:val="2"/>
        </w:rPr>
        <w:t>Φ</w:t>
      </w:r>
      <w:r>
        <w:rPr>
          <w:rFonts w:ascii="Arial" w:hAnsi="Arial" w:eastAsia="Arial"/>
          <w:spacing w:val="2"/>
        </w:rPr>
        <w:t>10</w:t>
      </w:r>
      <w:r>
        <w:rPr>
          <w:spacing w:val="2"/>
        </w:rPr>
        <w:t>。</w:t>
      </w:r>
    </w:p>
    <w:p>
      <w:pPr>
        <w:pStyle w:val="BodyText"/>
        <w:tabs>
          <w:tab w:pos="1639" w:val="left" w:leader="none"/>
        </w:tabs>
        <w:spacing w:line="367" w:lineRule="auto" w:before="30"/>
        <w:ind w:left="100" w:right="1158" w:firstLine="780"/>
      </w:pPr>
      <w:r>
        <w:rPr>
          <w:rFonts w:ascii="Arial" w:eastAsia="Arial"/>
        </w:rPr>
        <w:t>(2)</w:t>
        <w:tab/>
      </w:r>
      <w:r>
        <w:rPr/>
        <w:t>斜屋面防水、保温、细石混凝土、盖瓦应按图施工，保证各工序的施工质量， 减少屋面渗漏隐患。</w:t>
      </w:r>
    </w:p>
    <w:p>
      <w:pPr>
        <w:pStyle w:val="BodyText"/>
      </w:pPr>
    </w:p>
    <w:p>
      <w:pPr>
        <w:pStyle w:val="BodyText"/>
        <w:rPr>
          <w:sz w:val="28"/>
        </w:rPr>
      </w:pPr>
    </w:p>
    <w:p>
      <w:pPr>
        <w:pStyle w:val="BodyText"/>
        <w:ind w:left="100"/>
      </w:pPr>
      <w:r>
        <w:rPr>
          <w:rFonts w:ascii="Arial" w:eastAsia="Arial"/>
        </w:rPr>
        <w:t>6.7</w:t>
      </w:r>
      <w:r>
        <w:rPr>
          <w:rFonts w:ascii="Arial" w:eastAsia="Arial"/>
          <w:spacing w:val="97"/>
        </w:rPr>
        <w:t> </w:t>
      </w:r>
      <w:r>
        <w:rPr/>
        <w:t>卫生间沉箱工程</w:t>
      </w:r>
    </w:p>
    <w:p>
      <w:pPr>
        <w:pStyle w:val="BodyText"/>
        <w:tabs>
          <w:tab w:pos="12519" w:val="left" w:leader="none"/>
        </w:tabs>
        <w:spacing w:line="367" w:lineRule="auto" w:before="243"/>
        <w:ind w:left="100" w:right="378" w:firstLine="780"/>
      </w:pPr>
      <w:r>
        <w:rPr/>
        <w:t>①卫生间沉箱柔性防水涂料或反应型防水卷材应向上铺涂并高出面层</w:t>
        <w:tab/>
      </w:r>
      <w:r>
        <w:rPr>
          <w:rFonts w:ascii="Arial" w:hAnsi="Arial" w:eastAsia="Arial"/>
          <w:spacing w:val="-15"/>
        </w:rPr>
        <w:t>200-300mm</w:t>
      </w:r>
      <w:r>
        <w:rPr>
          <w:spacing w:val="-15"/>
        </w:rPr>
        <w:t>或 </w:t>
      </w:r>
      <w:r>
        <w:rPr/>
        <w:t>按设计要求高度铺涂，降低沉箱渗漏隐患。</w:t>
      </w:r>
    </w:p>
    <w:p>
      <w:pPr>
        <w:pStyle w:val="BodyText"/>
        <w:spacing w:line="386" w:lineRule="auto" w:before="78"/>
        <w:ind w:left="100" w:right="1560" w:firstLine="760"/>
      </w:pPr>
      <w:r>
        <w:rPr/>
        <w:t>②卫生间沉箱阴阳角及管道井根部应铺涂附加柔性防水层，防水层上翻至翻边顶 部，减少渗漏隐患。</w:t>
      </w:r>
    </w:p>
    <w:p>
      <w:pPr>
        <w:pStyle w:val="BodyText"/>
        <w:spacing w:line="398" w:lineRule="auto" w:before="49"/>
        <w:ind w:left="100" w:right="1180" w:firstLine="780"/>
      </w:pPr>
      <w:r>
        <w:rPr/>
        <w:t>③基层表面应平整、干燥，防水层应与基层结合牢固，表面应平整，不得有空鼓、 裂缝和麻面起砂，阴阳角应做成圆弧形。</w:t>
      </w:r>
    </w:p>
    <w:p>
      <w:pPr>
        <w:pStyle w:val="BodyText"/>
        <w:spacing w:before="31"/>
        <w:ind w:left="880"/>
      </w:pPr>
      <w:r>
        <w:rPr/>
        <w:t>④合理控制侧排高度，并向侧排找坡，保证沉箱不积水，减少沉箱渗漏隐患。</w:t>
      </w:r>
    </w:p>
    <w:p>
      <w:pPr>
        <w:pStyle w:val="BodyText"/>
        <w:spacing w:before="289"/>
        <w:ind w:left="880"/>
      </w:pPr>
      <w:r>
        <w:rPr/>
        <w:t>⑤侧排管道必须加盖子保护，防止在浇捣防水砂浆保护层时堵塞管道。</w:t>
      </w:r>
    </w:p>
    <w:p>
      <w:pPr>
        <w:pStyle w:val="BodyText"/>
        <w:tabs>
          <w:tab w:pos="13919" w:val="left" w:leader="none"/>
        </w:tabs>
        <w:spacing w:before="289"/>
        <w:ind w:left="880"/>
        <w:rPr>
          <w:rFonts w:ascii="Arial" w:hAnsi="Arial" w:eastAsia="Arial"/>
        </w:rPr>
      </w:pPr>
      <w:r>
        <w:rPr/>
        <w:t>⑥沉箱盖板使用条形页岩砖砌筑，底板按坡度方向留设通水口，沉箱盖板为</w:t>
        <w:tab/>
      </w:r>
      <w:r>
        <w:rPr>
          <w:rFonts w:ascii="Arial" w:hAnsi="Arial" w:eastAsia="Arial"/>
        </w:rPr>
        <w:t>50mm</w:t>
      </w:r>
    </w:p>
    <w:p>
      <w:pPr>
        <w:pStyle w:val="BodyText"/>
        <w:spacing w:before="243"/>
        <w:ind w:left="100"/>
      </w:pPr>
      <w:r>
        <w:rPr/>
        <w:t>厚，预制钢筋混凝土盖板。</w:t>
      </w:r>
    </w:p>
    <w:p>
      <w:pPr>
        <w:pStyle w:val="BodyText"/>
        <w:tabs>
          <w:tab w:pos="4819" w:val="left" w:leader="none"/>
        </w:tabs>
        <w:spacing w:line="357" w:lineRule="auto" w:before="289"/>
        <w:ind w:left="100" w:right="858" w:firstLine="780"/>
      </w:pPr>
      <w:r>
        <w:rPr/>
        <w:t>⑦沉箱后侧墙砌体砌筑</w:t>
        <w:tab/>
      </w:r>
      <w:r>
        <w:rPr>
          <w:rFonts w:ascii="Arial" w:hAnsi="Arial" w:eastAsia="Arial"/>
          <w:spacing w:val="-5"/>
        </w:rPr>
        <w:t>800mm</w:t>
      </w:r>
      <w:r>
        <w:rPr>
          <w:spacing w:val="-5"/>
        </w:rPr>
        <w:t>高，防水水泥砂浆抹灰、聚合物防水砂浆抹灰后，使 </w:t>
      </w:r>
      <w:r>
        <w:rPr/>
        <w:t>用瓷砖胶铺贴瓷砖，保证瓷砖不空鼓，</w:t>
      </w:r>
    </w:p>
    <w:p>
      <w:pPr>
        <w:pStyle w:val="BodyText"/>
        <w:tabs>
          <w:tab w:pos="7139" w:val="left" w:leader="none"/>
          <w:tab w:pos="14119" w:val="left" w:leader="none"/>
        </w:tabs>
        <w:spacing w:before="112"/>
        <w:ind w:left="880"/>
        <w:rPr>
          <w:rFonts w:ascii="Arial" w:hAnsi="Arial" w:eastAsia="Arial"/>
        </w:rPr>
      </w:pPr>
      <w:r>
        <w:rPr/>
        <w:t>⑧沉箱</w:t>
      </w:r>
      <w:r>
        <w:rPr>
          <w:spacing w:val="-20"/>
        </w:rPr>
        <w:t> </w:t>
      </w:r>
      <w:r>
        <w:rPr>
          <w:rFonts w:ascii="Arial" w:hAnsi="Arial" w:eastAsia="Arial"/>
        </w:rPr>
        <w:t>1</w:t>
      </w:r>
      <w:r>
        <w:rPr>
          <w:rFonts w:ascii="Arial" w:hAnsi="Arial" w:eastAsia="Arial"/>
          <w:spacing w:val="-1"/>
        </w:rPr>
        <w:t> </w:t>
      </w:r>
      <w:r>
        <w:rPr/>
        <w:t>轴位置设置砖墙拉结筋样板</w:t>
        <w:tab/>
      </w:r>
      <w:r>
        <w:rPr>
          <w:rFonts w:ascii="Arial" w:hAnsi="Arial" w:eastAsia="Arial"/>
        </w:rPr>
        <w:t>2</w:t>
      </w:r>
      <w:r>
        <w:rPr/>
        <w:t>Φ</w:t>
      </w:r>
      <w:r>
        <w:rPr>
          <w:rFonts w:ascii="Arial" w:hAnsi="Arial" w:eastAsia="Arial"/>
        </w:rPr>
        <w:t>6</w:t>
      </w:r>
      <w:r>
        <w:rPr/>
        <w:t>，拉结筋伸入墙体长度不小于墙长的</w:t>
        <w:tab/>
      </w:r>
      <w:r>
        <w:rPr>
          <w:rFonts w:ascii="Arial" w:hAnsi="Arial" w:eastAsia="Arial"/>
        </w:rPr>
        <w:t>1/5</w:t>
      </w:r>
    </w:p>
    <w:p>
      <w:pPr>
        <w:pStyle w:val="BodyText"/>
        <w:tabs>
          <w:tab w:pos="6479" w:val="left" w:leader="none"/>
        </w:tabs>
        <w:spacing w:before="243"/>
        <w:ind w:left="100"/>
      </w:pPr>
      <w:r>
        <w:rPr/>
        <w:t>或者</w:t>
      </w:r>
      <w:r>
        <w:rPr>
          <w:spacing w:val="-40"/>
        </w:rPr>
        <w:t> </w:t>
      </w:r>
      <w:r>
        <w:rPr>
          <w:rFonts w:ascii="Arial" w:eastAsia="Arial"/>
          <w:spacing w:val="-1"/>
        </w:rPr>
        <w:t>1000m</w:t>
      </w:r>
      <w:r>
        <w:rPr>
          <w:rFonts w:ascii="Arial" w:eastAsia="Arial"/>
          <w:spacing w:val="-241"/>
        </w:rPr>
        <w:t>m</w:t>
      </w:r>
      <w:r>
        <w:rPr/>
        <w:t>，拉结筋另一端锚入柱子</w:t>
        <w:tab/>
      </w:r>
      <w:r>
        <w:rPr>
          <w:rFonts w:ascii="Arial" w:eastAsia="Arial"/>
          <w:spacing w:val="-1"/>
        </w:rPr>
        <w:t>100m</w:t>
      </w:r>
      <w:r>
        <w:rPr>
          <w:rFonts w:ascii="Arial" w:eastAsia="Arial"/>
          <w:spacing w:val="-241"/>
        </w:rPr>
        <w:t>m</w:t>
      </w:r>
      <w:r>
        <w:rPr/>
        <w:t>，使用值筋胶粘结。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before="209"/>
        <w:ind w:left="7068" w:right="7136" w:firstLine="0"/>
        <w:jc w:val="center"/>
        <w:rPr>
          <w:rFonts w:ascii="Arial"/>
          <w:b/>
          <w:sz w:val="26"/>
        </w:rPr>
      </w:pPr>
      <w:r>
        <w:rPr>
          <w:rFonts w:ascii="Arial"/>
          <w:b/>
          <w:sz w:val="26"/>
        </w:rPr>
        <w:t>12 </w:t>
      </w:r>
      <w:r>
        <w:rPr>
          <w:rFonts w:ascii="Arial"/>
          <w:sz w:val="26"/>
        </w:rPr>
        <w:t>/ </w:t>
      </w:r>
      <w:r>
        <w:rPr>
          <w:rFonts w:ascii="Arial"/>
          <w:b/>
          <w:sz w:val="26"/>
        </w:rPr>
        <w:t>12</w:t>
      </w:r>
    </w:p>
    <w:sectPr>
      <w:pgSz w:w="19120" w:h="27080"/>
      <w:pgMar w:top="1940" w:bottom="280" w:left="2160" w:right="19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SimSun">
    <w:altName w:val="SimSun"/>
    <w:charset w:val="0"/>
    <w:family w:val="auto"/>
    <w:pitch w:val="variable"/>
  </w:font>
  <w:font w:name="Arial">
    <w:altName w:val="Arial"/>
    <w:charset w:val="0"/>
    <w:family w:val="swiss"/>
    <w:pitch w:val="variable"/>
  </w:font>
  <w:font w:name="PMingLiU">
    <w:altName w:val="PMingLiU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SimSun" w:hAnsi="SimSun" w:eastAsia="SimSun" w:cs="SimSun"/>
    </w:rPr>
  </w:style>
  <w:style w:styleId="TOC1" w:type="paragraph">
    <w:name w:val="TOC 1"/>
    <w:basedOn w:val="Normal"/>
    <w:uiPriority w:val="1"/>
    <w:qFormat/>
    <w:pPr>
      <w:spacing w:before="300"/>
      <w:ind w:left="100"/>
    </w:pPr>
    <w:rPr>
      <w:rFonts w:ascii="SimSun" w:hAnsi="SimSun" w:eastAsia="SimSun" w:cs="SimSun"/>
      <w:sz w:val="42"/>
      <w:szCs w:val="42"/>
    </w:rPr>
  </w:style>
  <w:style w:styleId="BodyText" w:type="paragraph">
    <w:name w:val="Body Text"/>
    <w:basedOn w:val="Normal"/>
    <w:uiPriority w:val="1"/>
    <w:qFormat/>
    <w:pPr/>
    <w:rPr>
      <w:rFonts w:ascii="SimSun" w:hAnsi="SimSun" w:eastAsia="SimSun" w:cs="SimSun"/>
      <w:sz w:val="36"/>
      <w:szCs w:val="36"/>
    </w:rPr>
  </w:style>
  <w:style w:styleId="Heading1" w:type="paragraph">
    <w:name w:val="Heading 1"/>
    <w:basedOn w:val="Normal"/>
    <w:uiPriority w:val="1"/>
    <w:qFormat/>
    <w:pPr>
      <w:ind w:left="100"/>
      <w:outlineLvl w:val="1"/>
    </w:pPr>
    <w:rPr>
      <w:rFonts w:ascii="SimSun" w:hAnsi="SimSun" w:eastAsia="SimSun" w:cs="SimSun"/>
      <w:sz w:val="42"/>
      <w:szCs w:val="4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spacing w:before="90"/>
    </w:pPr>
    <w:rPr>
      <w:rFonts w:ascii="SimSun" w:hAnsi="SimSun" w:eastAsia="SimSun" w:cs="SimSu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image" Target="media/image6.jpeg"/><Relationship Id="rId11" Type="http://schemas.openxmlformats.org/officeDocument/2006/relationships/image" Target="media/image7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bingdian001.com</dc:creator>
  <cp:keywords>bingdian001.com</cp:keywords>
  <dc:subject>bingdian001.com</dc:subject>
  <dc:title>bingdian001.com</dc:title>
  <dcterms:created xsi:type="dcterms:W3CDTF">2016-11-14T11:15:28Z</dcterms:created>
  <dcterms:modified xsi:type="dcterms:W3CDTF">2016-11-14T11:15:28Z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2016-11-14T00:00:00Z</vt:filetime>
  </property>
  <property fmtid="{D5CDD505-2E9C-101B-9397-08002B2CF9AE}" pid="3" name="Creator">
    <vt:lpwstr>bingdian001.com</vt:lpwstr>
  </property>
  <property fmtid="{D5CDD505-2E9C-101B-9397-08002B2CF9AE}" pid="4" name="LastSaved">
    <vt:filetime>2016-11-14T00:00:00Z</vt:filetime>
  </property>
</Properties>
</file>